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center"/>
        <w:rPr/>
      </w:pPr>
      <w:r>
        <w:rPr/>
      </w:r>
      <w:bookmarkStart w:id="0" w:name="ef20083527_sctoc.htm"/>
      <w:bookmarkStart w:id="1" w:name="ksef20083527_sctoc"/>
      <w:bookmarkStart w:id="2" w:name="ef20083527_sctoc.htm"/>
      <w:bookmarkStart w:id="3" w:name="ksef20083527_sctoc"/>
      <w:bookmarkEnd w:id="2"/>
      <w:bookmarkEnd w:id="3"/>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SCHEDULE TO</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Tender Offer Statement Pursuant to Section 14(d)(1) or 13(e)(1)</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48"/>
        </w:rPr>
      </w:pPr>
      <w:r>
        <w:rPr>
          <w:rFonts w:ascii="Times New Roman;Times;serif" w:hAnsi="Times New Roman;Times;serif"/>
          <w:b/>
          <w:color w:val="000000"/>
          <w:sz w:val="48"/>
        </w:rPr>
        <w:t>PACIRA BIOSCIENCES,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(Name of Subject Company)</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48"/>
        </w:rPr>
      </w:pPr>
      <w:r>
        <w:rPr>
          <w:rFonts w:ascii="Times New Roman;Times;serif" w:hAnsi="Times New Roman;Times;serif"/>
          <w:b/>
          <w:color w:val="000000"/>
          <w:sz w:val="48"/>
        </w:rPr>
        <w:t>PEACH PURCHASER SUB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(Offeror)</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 Wholly Owned Subsidiary of</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48"/>
        </w:rPr>
      </w:pPr>
      <w:r>
        <w:rPr>
          <w:rFonts w:ascii="Times New Roman;Times;serif" w:hAnsi="Times New Roman;Times;serif"/>
          <w:b/>
          <w:color w:val="000000"/>
          <w:sz w:val="48"/>
        </w:rPr>
        <w:t>VIATRIS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(Parent of Offeror)</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COMMON STOCK, PAR VALUE $0.001 PER SHARE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(Title of Class of Securities)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695127100</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(CUSIP Number of Class of Securities)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Matthew J. Maletta</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Chief Legal Officer</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Viatris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1000 Mylan Boulevard</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Canonsburg, Pennsylvania 15317</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(724) 514-1800</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(Name, address and telephone number of person authorized to receive notices and communications on behalf of filing persons)</w:t>
      </w:r>
    </w:p>
    <w:p>
      <w:pPr>
        <w:pStyle w:val="TextBody"/>
        <w:bidi w:val="0"/>
        <w:spacing w:before="0" w:after="0"/>
        <w:jc w:val="left"/>
        <w:rPr/>
      </w:pPr>
      <w:r>
        <w:rPr/>
      </w:r>
    </w:p>
    <w:p>
      <w:pPr>
        <w:pStyle w:val="TextBody"/>
        <w:bidi w:val="0"/>
        <w:spacing w:before="0" w:after="0"/>
        <w:jc w:val="center"/>
        <w:rPr>
          <w:rFonts w:ascii="Times New Roman;Times;serif" w:hAnsi="Times New Roman;Times;serif"/>
          <w:b/>
          <w:i/>
          <w:color w:val="000000"/>
          <w:sz w:val="20"/>
        </w:rPr>
      </w:pPr>
      <w:r>
        <w:rPr>
          <w:rFonts w:ascii="Times New Roman;Times;serif" w:hAnsi="Times New Roman;Times;serif"/>
          <w:b/>
          <w:i/>
          <w:color w:val="000000"/>
          <w:sz w:val="20"/>
        </w:rPr>
        <w:t>with copies to:</w:t>
      </w:r>
    </w:p>
    <w:p>
      <w:pPr>
        <w:pStyle w:val="TextBody"/>
        <w:bidi w:val="0"/>
        <w:spacing w:before="0" w:after="0"/>
        <w:jc w:val="center"/>
        <w:rPr>
          <w:b/>
          <w:i/>
          <w:color w:val="000000"/>
        </w:rPr>
      </w:pPr>
      <w:r>
        <w:rPr>
          <w:b/>
          <w:i/>
          <w:color w:val="000000"/>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Mark I. Greene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Aaron M. Gruber</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Andrew M. Wark</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Cravath, Swaine &amp; Moore LLP</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Two Manhattan West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375 Ninth Avenue</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New York, NY 10001</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(212) 474-1000</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CALCULATION OF FILING FEE</w:t>
      </w:r>
    </w:p>
    <w:p>
      <w:pPr>
        <w:pStyle w:val="TextBody"/>
        <w:bidi w:val="0"/>
        <w:spacing w:before="0" w:after="0"/>
        <w:jc w:val="center"/>
        <w:rPr>
          <w:b/>
          <w:color w:val="000000"/>
        </w:rPr>
      </w:pPr>
      <w:r>
        <w:rPr>
          <w:b/>
          <w:color w:val="000000"/>
        </w:rPr>
      </w:r>
    </w:p>
    <w:p>
      <w:pPr>
        <w:pStyle w:val="Normal"/>
        <w:bidi w:val="0"/>
        <w:spacing w:before="0" w:after="0"/>
        <w:jc w:val="left"/>
        <w:rPr>
          <w:sz w:val="4"/>
          <w:szCs w:val="4"/>
        </w:rPr>
      </w:pPr>
      <w:r>
        <w:rPr>
          <w:sz w:val="4"/>
          <w:szCs w:val="4"/>
        </w:rPr>
      </w:r>
      <w:bookmarkStart w:id="4" w:name="z80b94bad279749e88e931205212cb649"/>
      <w:bookmarkStart w:id="5" w:name="z80b94bad279749e88e931205212cb649"/>
      <w:bookmarkEnd w:id="5"/>
    </w:p>
    <w:tbl>
      <w:tblPr>
        <w:tblW w:w="4495" w:type="dxa"/>
        <w:jc w:val="center"/>
        <w:tblInd w:w="0" w:type="dxa"/>
        <w:tblLayout w:type="fixed"/>
        <w:tblCellMar>
          <w:top w:w="28" w:type="dxa"/>
          <w:left w:w="28" w:type="dxa"/>
          <w:bottom w:w="0" w:type="dxa"/>
          <w:right w:w="0" w:type="dxa"/>
        </w:tblCellMar>
      </w:tblPr>
      <w:tblGrid>
        <w:gridCol w:w="2315"/>
        <w:gridCol w:w="2180"/>
      </w:tblGrid>
      <w:tr>
        <w:trPr/>
        <w:tc>
          <w:tcPr>
            <w:tcW w:w="2315" w:type="dxa"/>
            <w:tcBorders>
              <w:top w:val="single" w:sz="12" w:space="0" w:color="000000"/>
              <w:left w:val="single" w:sz="12" w:space="0" w:color="000000"/>
            </w:tcBorders>
            <w:vAlign w:val="center"/>
          </w:tcPr>
          <w:p>
            <w:pPr>
              <w:pStyle w:val="TableContents"/>
              <w:bidi w:val="0"/>
              <w:spacing w:before="0" w:after="0"/>
              <w:jc w:val="center"/>
              <w:rPr>
                <w:rFonts w:ascii="Times New Roman;Times;serif" w:hAnsi="Times New Roman;Times;serif"/>
                <w:b/>
                <w:color w:val="000000"/>
              </w:rPr>
            </w:pPr>
            <w:r>
              <w:rPr>
                <w:rFonts w:ascii="Times New Roman;Times;serif" w:hAnsi="Times New Roman;Times;serif"/>
                <w:b/>
                <w:color w:val="000000"/>
              </w:rPr>
              <w:t>Transaction Valuation</w:t>
            </w:r>
          </w:p>
        </w:tc>
        <w:tc>
          <w:tcPr>
            <w:tcW w:w="2180"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rFonts w:ascii="Times New Roman;Times;serif" w:hAnsi="Times New Roman;Times;serif"/>
                <w:b/>
                <w:color w:val="000000"/>
              </w:rPr>
            </w:pPr>
            <w:r>
              <w:rPr>
                <w:rFonts w:ascii="Times New Roman;Times;serif" w:hAnsi="Times New Roman;Times;serif"/>
                <w:b/>
                <w:color w:val="000000"/>
              </w:rPr>
              <w:t>Amount of Filing Fee</w:t>
            </w:r>
          </w:p>
        </w:tc>
      </w:tr>
      <w:tr>
        <w:trPr/>
        <w:tc>
          <w:tcPr>
            <w:tcW w:w="2315"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N/A*</w:t>
            </w:r>
          </w:p>
        </w:tc>
        <w:tc>
          <w:tcPr>
            <w:tcW w:w="2180"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N/A*</w:t>
            </w:r>
          </w:p>
        </w:tc>
      </w:tr>
    </w:tbl>
    <w:p>
      <w:pPr>
        <w:pStyle w:val="TextBody"/>
        <w:bidi w:val="0"/>
        <w:spacing w:before="0" w:after="0"/>
        <w:jc w:val="center"/>
        <w:rPr>
          <w:b/>
          <w:color w:val="000000"/>
        </w:rPr>
      </w:pPr>
      <w:r>
        <w:rPr>
          <w:b/>
          <w:color w:val="000000"/>
        </w:rPr>
      </w:r>
    </w:p>
    <w:p>
      <w:pPr>
        <w:pStyle w:val="Normal"/>
        <w:bidi w:val="0"/>
        <w:spacing w:before="0" w:after="0"/>
        <w:jc w:val="left"/>
        <w:rPr>
          <w:sz w:val="4"/>
          <w:szCs w:val="4"/>
        </w:rPr>
      </w:pPr>
      <w:r>
        <w:rPr>
          <w:sz w:val="4"/>
          <w:szCs w:val="4"/>
        </w:rPr>
      </w:r>
      <w:bookmarkStart w:id="6" w:name="z207a9d836ac04035b02f022eaae231cc"/>
      <w:bookmarkStart w:id="7" w:name="z207a9d836ac04035b02f022eaae231cc"/>
      <w:bookmarkEnd w:id="7"/>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b/>
                <w:color w:val="000000"/>
              </w:rPr>
            </w:pPr>
            <w:r>
              <w:rPr>
                <w:rFonts w:ascii="Times New Roman;Times;serif" w:hAnsi="Times New Roman;Times;serif"/>
                <w:b/>
                <w:color w:val="000000"/>
              </w:rPr>
              <w:t>*</w:t>
            </w:r>
          </w:p>
        </w:tc>
        <w:tc>
          <w:tcPr>
            <w:tcW w:w="10050" w:type="dxa"/>
            <w:tcBorders/>
            <w:vAlign w:val="center"/>
          </w:tcPr>
          <w:p>
            <w:pPr>
              <w:pStyle w:val="TableContents"/>
              <w:bidi w:val="0"/>
              <w:spacing w:before="0" w:after="0"/>
              <w:jc w:val="left"/>
              <w:rPr>
                <w:rFonts w:ascii="Times New Roman;Times;serif" w:hAnsi="Times New Roman;Times;serif"/>
                <w:b w:val="false"/>
                <w:color w:val="000000"/>
              </w:rPr>
            </w:pPr>
            <w:r>
              <w:rPr>
                <w:rFonts w:ascii="Times New Roman;Times;serif" w:hAnsi="Times New Roman;Times;serif"/>
                <w:b w:val="false"/>
                <w:color w:val="000000"/>
              </w:rPr>
              <w:t>A filing fee is not required in connection with this filing as it relates solely to preliminary communications made before the commencement of the tender offer.</w:t>
            </w:r>
          </w:p>
        </w:tc>
      </w:tr>
    </w:tbl>
    <w:p>
      <w:pPr>
        <w:pStyle w:val="TextBody"/>
        <w:bidi w:val="0"/>
        <w:spacing w:before="0" w:after="0"/>
        <w:jc w:val="center"/>
        <w:rPr>
          <w:b/>
          <w:color w:val="000000"/>
        </w:rPr>
      </w:pPr>
      <w:r>
        <w:rPr>
          <w:b/>
          <w:color w:val="000000"/>
        </w:rPr>
      </w:r>
    </w:p>
    <w:p>
      <w:pPr>
        <w:pStyle w:val="Normal"/>
        <w:bidi w:val="0"/>
        <w:spacing w:before="0" w:after="0"/>
        <w:jc w:val="left"/>
        <w:rPr>
          <w:sz w:val="4"/>
          <w:szCs w:val="4"/>
        </w:rPr>
      </w:pPr>
      <w:r>
        <w:rPr>
          <w:sz w:val="4"/>
          <w:szCs w:val="4"/>
        </w:rPr>
      </w:r>
      <w:bookmarkStart w:id="8" w:name="z51d645db2f744a27a96b0179e7738725"/>
      <w:bookmarkStart w:id="9" w:name="z51d645db2f744a27a96b0179e7738725"/>
      <w:bookmarkEnd w:id="9"/>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rFonts w:ascii="Times New Roman;Times;serif" w:hAnsi="Times New Roman;Times;serif"/>
                <w:b w:val="false"/>
                <w:color w:val="000000"/>
              </w:rPr>
            </w:pPr>
            <w:r>
              <w:rPr>
                <w:rFonts w:ascii="Times New Roman;Times;serif" w:hAnsi="Times New Roman;Times;serif"/>
                <w:b w:val="false"/>
                <w:color w:val="000000"/>
              </w:rPr>
              <w:t>Check the box if any part of the fee is offset as provided by Rule 0-11(a)(2) and identify the filing with which the offsetting fee was previously paid. Identify the previous filing by registration statement number, or the Form or Schedule and the date of its filing.</w:t>
            </w:r>
          </w:p>
        </w:tc>
      </w:tr>
    </w:tbl>
    <w:p>
      <w:pPr>
        <w:pStyle w:val="TextBody"/>
        <w:bidi w:val="0"/>
        <w:spacing w:before="0" w:after="0"/>
        <w:jc w:val="center"/>
        <w:rPr>
          <w:b/>
          <w:color w:val="000000"/>
        </w:rPr>
      </w:pPr>
      <w:r>
        <w:rPr>
          <w:b/>
          <w:color w:val="000000"/>
        </w:rPr>
      </w:r>
    </w:p>
    <w:p>
      <w:pPr>
        <w:pStyle w:val="TextBody"/>
        <w:bidi w:val="0"/>
        <w:spacing w:before="0" w:after="0"/>
        <w:ind w:left="720" w:right="0" w:hanging="0"/>
        <w:jc w:val="center"/>
        <w:rPr>
          <w:b/>
          <w:color w:val="000000"/>
        </w:rPr>
      </w:pPr>
      <w:r>
        <w:rPr>
          <w:b/>
          <w:color w:val="000000"/>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930525" cy="701040"/>
                <wp:effectExtent l="0" t="0" r="0" b="0"/>
                <wp:wrapSquare wrapText="right"/>
                <wp:docPr id="1" name="Frame1"/>
                <a:graphic xmlns:a="http://schemas.openxmlformats.org/drawingml/2006/main">
                  <a:graphicData uri="http://schemas.microsoft.com/office/word/2010/wordprocessingShape">
                    <wps:wsp>
                      <wps:cNvSpPr txBox="1"/>
                      <wps:spPr>
                        <a:xfrm>
                          <a:off x="0" y="0"/>
                          <a:ext cx="2930525" cy="701040"/>
                        </a:xfrm>
                        <a:prstGeom prst="rect"/>
                        <a:solidFill>
                          <a:srgbClr val="FFFFFF"/>
                        </a:solidFill>
                      </wps:spPr>
                      <wps:txbx>
                        <w:txbxContent>
                          <w:tbl>
                            <w:tblPr>
                              <w:tblW w:w="4615" w:type="dxa"/>
                              <w:jc w:val="left"/>
                              <w:tblInd w:w="0" w:type="dxa"/>
                              <w:tblLayout w:type="fixed"/>
                              <w:tblCellMar>
                                <w:top w:w="0" w:type="dxa"/>
                                <w:left w:w="0" w:type="dxa"/>
                                <w:bottom w:w="0" w:type="dxa"/>
                                <w:right w:w="0" w:type="dxa"/>
                              </w:tblCellMar>
                            </w:tblPr>
                            <w:tblGrid>
                              <w:gridCol w:w="2945"/>
                              <w:gridCol w:w="1670"/>
                            </w:tblGrid>
                            <w:tr>
                              <w:trPr/>
                              <w:tc>
                                <w:tcPr>
                                  <w:tcW w:w="2945" w:type="dxa"/>
                                  <w:tcBorders/>
                                  <w:vAlign w:val="center"/>
                                </w:tcPr>
                                <w:p>
                                  <w:pPr>
                                    <w:pStyle w:val="TableContents"/>
                                    <w:bidi w:val="0"/>
                                    <w:spacing w:before="0" w:after="0"/>
                                    <w:jc w:val="left"/>
                                    <w:rPr/>
                                  </w:pPr>
                                  <w:r>
                                    <w:rPr/>
                                    <w:t>Amount Previously Paid: N/A</w:t>
                                  </w:r>
                                </w:p>
                              </w:tc>
                              <w:tc>
                                <w:tcPr>
                                  <w:tcW w:w="1670" w:type="dxa"/>
                                  <w:tcBorders/>
                                  <w:vAlign w:val="center"/>
                                </w:tcPr>
                                <w:p>
                                  <w:pPr>
                                    <w:pStyle w:val="TableContents"/>
                                    <w:bidi w:val="0"/>
                                    <w:spacing w:before="0" w:after="0"/>
                                    <w:jc w:val="left"/>
                                    <w:rPr/>
                                  </w:pPr>
                                  <w:r>
                                    <w:rPr/>
                                    <w:t>Filing Party: N/A</w:t>
                                  </w:r>
                                </w:p>
                              </w:tc>
                            </w:tr>
                            <w:tr>
                              <w:trPr/>
                              <w:tc>
                                <w:tcPr>
                                  <w:tcW w:w="2945" w:type="dxa"/>
                                  <w:tcBorders/>
                                  <w:vAlign w:val="center"/>
                                </w:tcPr>
                                <w:p>
                                  <w:pPr>
                                    <w:pStyle w:val="TableContents"/>
                                    <w:bidi w:val="0"/>
                                    <w:spacing w:before="0" w:after="0"/>
                                    <w:jc w:val="left"/>
                                    <w:rPr/>
                                  </w:pPr>
                                  <w:r>
                                    <w:rPr/>
                                    <w:t>Form or Registration No.: N/A</w:t>
                                  </w:r>
                                </w:p>
                              </w:tc>
                              <w:tc>
                                <w:tcPr>
                                  <w:tcW w:w="1670" w:type="dxa"/>
                                  <w:tcBorders/>
                                  <w:vAlign w:val="center"/>
                                </w:tcPr>
                                <w:p>
                                  <w:pPr>
                                    <w:pStyle w:val="TableContents"/>
                                    <w:bidi w:val="0"/>
                                    <w:spacing w:before="0" w:after="0"/>
                                    <w:jc w:val="left"/>
                                    <w:rPr/>
                                  </w:pPr>
                                  <w:r>
                                    <w:rPr/>
                                    <w:t>Date Filed: N/A</w:t>
                                  </w:r>
                                </w:p>
                              </w:tc>
                            </w:tr>
                          </w:tbl>
                        </w:txbxContent>
                      </wps:txbx>
                      <wps:bodyPr anchor="t" lIns="0" tIns="0" rIns="0" bIns="0">
                        <a:noAutofit/>
                      </wps:bodyPr>
                    </wps:wsp>
                  </a:graphicData>
                </a:graphic>
              </wp:anchor>
            </w:drawing>
          </mc:Choice>
          <mc:Fallback>
            <w:pict>
              <v:rect style="position:absolute;rotation:-0;width:230.75pt;height:55.2pt;mso-wrap-distance-left:0pt;mso-wrap-distance-right:0pt;mso-wrap-distance-top:0pt;mso-wrap-distance-bottom:0pt;margin-top:0pt;mso-position-vertical:top;mso-position-vertical-relative:text;margin-left:0pt;mso-position-horizontal:left;mso-position-horizontal-relative:text">
                <v:textbox>
                  <w:txbxContent>
                    <w:tbl>
                      <w:tblPr>
                        <w:tblW w:w="4615" w:type="dxa"/>
                        <w:jc w:val="left"/>
                        <w:tblInd w:w="0" w:type="dxa"/>
                        <w:tblLayout w:type="fixed"/>
                        <w:tblCellMar>
                          <w:top w:w="0" w:type="dxa"/>
                          <w:left w:w="0" w:type="dxa"/>
                          <w:bottom w:w="0" w:type="dxa"/>
                          <w:right w:w="0" w:type="dxa"/>
                        </w:tblCellMar>
                      </w:tblPr>
                      <w:tblGrid>
                        <w:gridCol w:w="2945"/>
                        <w:gridCol w:w="1670"/>
                      </w:tblGrid>
                      <w:tr>
                        <w:trPr/>
                        <w:tc>
                          <w:tcPr>
                            <w:tcW w:w="2945" w:type="dxa"/>
                            <w:tcBorders/>
                            <w:vAlign w:val="center"/>
                          </w:tcPr>
                          <w:p>
                            <w:pPr>
                              <w:pStyle w:val="TableContents"/>
                              <w:bidi w:val="0"/>
                              <w:spacing w:before="0" w:after="0"/>
                              <w:jc w:val="left"/>
                              <w:rPr/>
                            </w:pPr>
                            <w:r>
                              <w:rPr/>
                              <w:t>Amount Previously Paid: N/A</w:t>
                            </w:r>
                          </w:p>
                        </w:tc>
                        <w:tc>
                          <w:tcPr>
                            <w:tcW w:w="1670" w:type="dxa"/>
                            <w:tcBorders/>
                            <w:vAlign w:val="center"/>
                          </w:tcPr>
                          <w:p>
                            <w:pPr>
                              <w:pStyle w:val="TableContents"/>
                              <w:bidi w:val="0"/>
                              <w:spacing w:before="0" w:after="0"/>
                              <w:jc w:val="left"/>
                              <w:rPr/>
                            </w:pPr>
                            <w:r>
                              <w:rPr/>
                              <w:t>Filing Party: N/A</w:t>
                            </w:r>
                          </w:p>
                        </w:tc>
                      </w:tr>
                      <w:tr>
                        <w:trPr/>
                        <w:tc>
                          <w:tcPr>
                            <w:tcW w:w="2945" w:type="dxa"/>
                            <w:tcBorders/>
                            <w:vAlign w:val="center"/>
                          </w:tcPr>
                          <w:p>
                            <w:pPr>
                              <w:pStyle w:val="TableContents"/>
                              <w:bidi w:val="0"/>
                              <w:spacing w:before="0" w:after="0"/>
                              <w:jc w:val="left"/>
                              <w:rPr/>
                            </w:pPr>
                            <w:r>
                              <w:rPr/>
                              <w:t>Form or Registration No.: N/A</w:t>
                            </w:r>
                          </w:p>
                        </w:tc>
                        <w:tc>
                          <w:tcPr>
                            <w:tcW w:w="1670" w:type="dxa"/>
                            <w:tcBorders/>
                            <w:vAlign w:val="center"/>
                          </w:tcPr>
                          <w:p>
                            <w:pPr>
                              <w:pStyle w:val="TableContents"/>
                              <w:bidi w:val="0"/>
                              <w:spacing w:before="0" w:after="0"/>
                              <w:jc w:val="left"/>
                              <w:rPr/>
                            </w:pPr>
                            <w:r>
                              <w:rPr/>
                              <w:t>Date Filed: N/A</w:t>
                            </w:r>
                          </w:p>
                        </w:tc>
                      </w:tr>
                    </w:tbl>
                  </w:txbxContent>
                </v:textbox>
                <w10:wrap type="square" side="right"/>
              </v:rect>
            </w:pict>
          </mc:Fallback>
        </mc:AlternateContent>
      </w:r>
    </w:p>
    <w:p>
      <w:pPr>
        <w:pStyle w:val="Normal"/>
        <w:bidi w:val="0"/>
        <w:spacing w:before="0" w:after="0"/>
        <w:jc w:val="left"/>
        <w:rPr>
          <w:sz w:val="4"/>
          <w:szCs w:val="4"/>
        </w:rPr>
      </w:pPr>
      <w:r>
        <w:rPr>
          <w:sz w:val="4"/>
          <w:szCs w:val="4"/>
        </w:rPr>
      </w:r>
      <w:bookmarkStart w:id="10" w:name="z04cbef8c5b2a41d3bde5946f32fb9229"/>
      <w:bookmarkStart w:id="11" w:name="z04cbef8c5b2a41d3bde5946f32fb9229"/>
      <w:bookmarkEnd w:id="1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b w:val="false"/>
                <w:color w:val="000000"/>
              </w:rPr>
            </w:pPr>
            <w:r>
              <w:rPr>
                <w:b w:val="false"/>
                <w:color w:val="000000"/>
              </w:rPr>
              <w:t>Check the box if the filing relates solely to preliminary communications made before the commencement of a tender offer.</w:t>
            </w:r>
          </w:p>
        </w:tc>
      </w:tr>
    </w:tbl>
    <w:p>
      <w:pPr>
        <w:pStyle w:val="TextBody"/>
        <w:bidi w:val="0"/>
        <w:spacing w:before="0" w:after="0"/>
        <w:jc w:val="left"/>
        <w:rPr>
          <w:b w:val="false"/>
          <w:color w:val="000000"/>
        </w:rPr>
      </w:pPr>
      <w:r>
        <w:rPr>
          <w:b w:val="false"/>
          <w:color w:val="000000"/>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Check the appropriate boxes below to designate any transactions to which the statement relates:</w:t>
      </w:r>
      <w:r>
        <w:rPr>
          <w:rFonts w:ascii="Times New Roman;Times;serif" w:hAnsi="Times New Roman;Times;serif"/>
          <w:b/>
          <w:color w:val="000000"/>
          <w:sz w:val="20"/>
        </w:rPr>
        <w:t xml:space="preserve"> </w:t>
      </w:r>
    </w:p>
    <w:p>
      <w:pPr>
        <w:pStyle w:val="Normal"/>
        <w:bidi w:val="0"/>
        <w:spacing w:before="0" w:after="0"/>
        <w:jc w:val="left"/>
        <w:rPr>
          <w:sz w:val="4"/>
          <w:szCs w:val="4"/>
        </w:rPr>
      </w:pPr>
      <w:r>
        <w:rPr>
          <w:sz w:val="4"/>
          <w:szCs w:val="4"/>
        </w:rPr>
      </w:r>
      <w:bookmarkStart w:id="12" w:name="z7d05a3e9a67a44368e4337ccdeaaa23a"/>
      <w:bookmarkStart w:id="13" w:name="z7d05a3e9a67a44368e4337ccdeaaa23a"/>
      <w:bookmarkEnd w:id="13"/>
    </w:p>
    <w:tbl>
      <w:tblPr>
        <w:tblW w:w="4840" w:type="dxa"/>
        <w:jc w:val="left"/>
        <w:tblInd w:w="0" w:type="dxa"/>
        <w:tblLayout w:type="fixed"/>
        <w:tblCellMar>
          <w:top w:w="0" w:type="dxa"/>
          <w:left w:w="0" w:type="dxa"/>
          <w:bottom w:w="0" w:type="dxa"/>
          <w:right w:w="0" w:type="dxa"/>
        </w:tblCellMar>
      </w:tblPr>
      <w:tblGrid>
        <w:gridCol w:w="60"/>
        <w:gridCol w:w="230"/>
        <w:gridCol w:w="45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third-party tender offer subject to Rule 14d-1.</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issuer tender offer subject to Rule 13e-4.</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going-private transaction subject to Rule 13e-3.</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amendment to Schedule 13D under Rule 13d-2.</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Check the following box if the filing is a final amendment reporting the results of the tender offer: ☐</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If applicable, check the appropriate box(es) below to designate the appropriate rule provision(s) relied upon:</w:t>
      </w:r>
    </w:p>
    <w:p>
      <w:pPr>
        <w:pStyle w:val="Normal"/>
        <w:bidi w:val="0"/>
        <w:spacing w:before="0" w:after="0"/>
        <w:jc w:val="left"/>
        <w:rPr>
          <w:sz w:val="4"/>
          <w:szCs w:val="4"/>
        </w:rPr>
      </w:pPr>
      <w:r>
        <w:rPr>
          <w:sz w:val="4"/>
          <w:szCs w:val="4"/>
        </w:rPr>
      </w:r>
      <w:bookmarkStart w:id="14" w:name="z21c8e1e84bf94c1f87c1fb4c6f8696c0"/>
      <w:bookmarkStart w:id="15" w:name="z21c8e1e84bf94c1f87c1fb4c6f8696c0"/>
      <w:bookmarkEnd w:id="15"/>
    </w:p>
    <w:tbl>
      <w:tblPr>
        <w:tblW w:w="5590" w:type="dxa"/>
        <w:jc w:val="left"/>
        <w:tblInd w:w="0" w:type="dxa"/>
        <w:tblLayout w:type="fixed"/>
        <w:tblCellMar>
          <w:top w:w="0" w:type="dxa"/>
          <w:left w:w="0" w:type="dxa"/>
          <w:bottom w:w="0" w:type="dxa"/>
          <w:right w:w="0" w:type="dxa"/>
        </w:tblCellMar>
      </w:tblPr>
      <w:tblGrid>
        <w:gridCol w:w="60"/>
        <w:gridCol w:w="230"/>
        <w:gridCol w:w="530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pPr>
            <w:r>
              <w:rPr/>
              <w:t>Rule 13e-4(i) (Cross-Border Issuer Tender Offer)</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pPr>
            <w:r>
              <w:rPr/>
              <w:t>Rule 14d-1(d) (Cross-Border Third-Party Tender Offer)</w:t>
            </w:r>
          </w:p>
        </w:tc>
      </w:tr>
    </w:tbl>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filing relates solely to pre-commencement communications made before the commencement of a planned tender offer (the “</w:t>
      </w:r>
      <w:r>
        <w:rPr>
          <w:rFonts w:ascii="Times New Roman;Times;serif" w:hAnsi="Times New Roman;Times;serif"/>
          <w:color w:val="000000"/>
          <w:sz w:val="20"/>
          <w:u w:val="single"/>
        </w:rPr>
        <w:t>Offer</w:t>
      </w:r>
      <w:r>
        <w:rPr>
          <w:rFonts w:ascii="Times New Roman;Times;serif" w:hAnsi="Times New Roman;Times;serif"/>
          <w:color w:val="000000"/>
          <w:sz w:val="20"/>
        </w:rPr>
        <w:t>”) by Peach Purchaser Sub Inc., a Delaware corporation (“</w:t>
      </w:r>
      <w:r>
        <w:rPr>
          <w:rFonts w:ascii="Times New Roman;Times;serif" w:hAnsi="Times New Roman;Times;serif"/>
          <w:color w:val="000000"/>
          <w:sz w:val="20"/>
          <w:u w:val="single"/>
        </w:rPr>
        <w:t>Purchaser</w:t>
      </w:r>
      <w:r>
        <w:rPr>
          <w:rFonts w:ascii="Times New Roman;Times;serif" w:hAnsi="Times New Roman;Times;serif"/>
          <w:color w:val="000000"/>
          <w:sz w:val="20"/>
        </w:rPr>
        <w:t>”), a wholly owned subsidiary of Viatris Inc., a Delaware corporation (“</w:t>
      </w:r>
      <w:r>
        <w:rPr>
          <w:rFonts w:ascii="Times New Roman;Times;serif" w:hAnsi="Times New Roman;Times;serif"/>
          <w:color w:val="000000"/>
          <w:sz w:val="20"/>
          <w:u w:val="single"/>
        </w:rPr>
        <w:t>Viatris</w:t>
      </w:r>
      <w:r>
        <w:rPr>
          <w:rFonts w:ascii="Times New Roman;Times;serif" w:hAnsi="Times New Roman;Times;serif"/>
          <w:color w:val="000000"/>
          <w:sz w:val="20"/>
        </w:rPr>
        <w:t>”), for all of the outstanding shares of common stock, par value $0.001 per share, of Pacira BioSciences, Inc., a Delaware corporation (“</w:t>
      </w:r>
      <w:r>
        <w:rPr>
          <w:rFonts w:ascii="Times New Roman;Times;serif" w:hAnsi="Times New Roman;Times;serif"/>
          <w:color w:val="000000"/>
          <w:sz w:val="20"/>
          <w:u w:val="single"/>
        </w:rPr>
        <w:t>Pacira</w:t>
      </w:r>
      <w:r>
        <w:rPr>
          <w:rFonts w:ascii="Times New Roman;Times;serif" w:hAnsi="Times New Roman;Times;serif"/>
          <w:color w:val="000000"/>
          <w:sz w:val="20"/>
        </w:rPr>
        <w:t>”, and such shares, the “</w:t>
      </w:r>
      <w:r>
        <w:rPr>
          <w:rFonts w:ascii="Times New Roman;Times;serif" w:hAnsi="Times New Roman;Times;serif"/>
          <w:color w:val="000000"/>
          <w:sz w:val="20"/>
          <w:u w:val="single"/>
        </w:rPr>
        <w:t>Shares</w:t>
      </w:r>
      <w:r>
        <w:rPr>
          <w:rFonts w:ascii="Times New Roman;Times;serif" w:hAnsi="Times New Roman;Times;serif"/>
          <w:color w:val="000000"/>
          <w:sz w:val="20"/>
        </w:rPr>
        <w:t>”), pursuant to the Agreement and Plan of Merger, dated as of October 8, 2026, by and among Viatris, Purchaser and Pacira.</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Important Information about the Transaction and Where to Find It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tender offer for the Shares described in this communication has not yet commenced. This communication is for informational purposes only and it is neither a recommendation, nor an offer to purchase nor a solicitation of an offer to sell Shares, nor is it a substitute for the tender offer materials that Viatris will file with the U.S.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xml:space="preserve">”)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will only be made pursuant to the offer to purchase, the letter of transmittal and other related tender offer documents filed as a part of the Schedule TO. </w:t>
      </w:r>
      <w:r>
        <w:rPr>
          <w:rFonts w:ascii="Times New Roman;Times;serif" w:hAnsi="Times New Roman;Times;serif"/>
          <w:b/>
          <w:color w:val="000000"/>
          <w:sz w:val="20"/>
        </w:rPr>
        <w:t>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w:t>
      </w:r>
      <w:r>
        <w:rPr>
          <w:rFonts w:ascii="Times New Roman;Times;serif" w:hAnsi="Times New Roman;Times;serif"/>
          <w:color w:val="000000"/>
          <w:sz w:val="20"/>
        </w:rPr>
        <w:t xml:space="preserve"> The offer to purchase, letter of transmittal and other related tender offer documents, as well as the Solicitation/Recommendation Statement on Schedule 14D-9, will be sent to all stockholders of Pacira at no expense to them</w:t>
      </w:r>
      <w:r>
        <w:rPr>
          <w:rFonts w:ascii="Times New Roman;Times;serif" w:hAnsi="Times New Roman;Times;serif"/>
          <w:b/>
          <w:color w:val="000000"/>
          <w:sz w:val="20"/>
        </w:rPr>
        <w:t>.</w:t>
      </w:r>
      <w:r>
        <w:rPr>
          <w:rFonts w:ascii="Times New Roman;Times;serif" w:hAnsi="Times New Roman;Times;serif"/>
          <w:color w:val="000000"/>
          <w:sz w:val="20"/>
        </w:rPr>
        <w:t xml:space="preserve">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more detailed information on the risks and uncertainties associated with Viatris and Pacira, see the risks described in Part I, Item 1A of their respective Annual Reports on Form 10-K for the year ended December 31, 2025, and their other filings with the SEC. You can access their respective filings with the SEC through the SEC website at www.sec.gov or through their respective websites, and each of Viatris and Pacira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communication or our filings with the SEC. Each of Viatris and Pacira undertakes no obligation to update any statements herein for revisions or changes after the date of this communication other than as required by law.</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EXHIBIT INDEX</w:t>
      </w:r>
    </w:p>
    <w:p>
      <w:pPr>
        <w:pStyle w:val="Normal"/>
        <w:bidi w:val="0"/>
        <w:spacing w:before="0" w:after="0"/>
        <w:jc w:val="left"/>
        <w:rPr>
          <w:sz w:val="4"/>
          <w:szCs w:val="4"/>
        </w:rPr>
      </w:pPr>
      <w:r>
        <w:rPr>
          <w:sz w:val="4"/>
          <w:szCs w:val="4"/>
        </w:rPr>
      </w:r>
      <w:bookmarkStart w:id="16" w:name="z9de320443ec84caaaa3bd8d0e3ea4ac4"/>
      <w:bookmarkStart w:id="17" w:name="z9de320443ec84caaaa3bd8d0e3ea4ac4"/>
      <w:bookmarkEnd w:id="17"/>
    </w:p>
    <w:tbl>
      <w:tblPr>
        <w:tblW w:w="5080" w:type="dxa"/>
        <w:jc w:val="left"/>
        <w:tblInd w:w="0" w:type="dxa"/>
        <w:tblLayout w:type="fixed"/>
        <w:tblCellMar>
          <w:top w:w="0" w:type="dxa"/>
          <w:left w:w="0" w:type="dxa"/>
          <w:bottom w:w="0" w:type="dxa"/>
          <w:right w:w="0" w:type="dxa"/>
        </w:tblCellMar>
      </w:tblPr>
      <w:tblGrid>
        <w:gridCol w:w="770"/>
        <w:gridCol w:w="60"/>
        <w:gridCol w:w="4250"/>
      </w:tblGrid>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77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No.</w:t>
            </w:r>
          </w:p>
        </w:tc>
        <w:tc>
          <w:tcPr>
            <w:tcW w:w="60" w:type="dxa"/>
            <w:tcBorders/>
            <w:vAlign w:val="center"/>
          </w:tcPr>
          <w:p>
            <w:pPr>
              <w:pStyle w:val="TableContents"/>
              <w:bidi w:val="0"/>
              <w:spacing w:before="0" w:after="283"/>
              <w:jc w:val="left"/>
              <w:rPr/>
            </w:pPr>
            <w:r>
              <w:rPr/>
              <w:t> </w:t>
            </w:r>
          </w:p>
        </w:tc>
        <w:tc>
          <w:tcPr>
            <w:tcW w:w="425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Description</w:t>
            </w:r>
          </w:p>
        </w:tc>
      </w:tr>
      <w:tr>
        <w:trPr/>
        <w:tc>
          <w:tcPr>
            <w:tcW w:w="5080" w:type="dxa"/>
            <w:gridSpan w:val="3"/>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pPr>
            <w:hyperlink w:anchor="ef20083527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pPr>
            <w:r>
              <w:rPr/>
              <w:t>Social media posts made on October 8, 2026</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pBdr>
          <w:bottom w:val="single" w:sz="12" w:space="0" w:color="808080"/>
        </w:pBdr>
        <w:bidi w:val="0"/>
        <w:jc w:val="right"/>
        <w:rPr/>
      </w:pPr>
      <w:r>
        <w:rPr/>
      </w:r>
      <w:bookmarkStart w:id="18" w:name="ef20083527_ex99-1.htm"/>
      <w:bookmarkStart w:id="19" w:name="ksef20083527_ex991"/>
      <w:bookmarkStart w:id="20" w:name="ef20083527_ex99-1.htm"/>
      <w:bookmarkStart w:id="21" w:name="ksef20083527_ex991"/>
      <w:bookmarkEnd w:id="20"/>
      <w:bookmarkEnd w:id="21"/>
      <w:r>
        <w:br w:type="page"/>
      </w:r>
    </w:p>
    <w:p>
      <w:pPr>
        <w:pStyle w:val="TextBody"/>
        <w:bidi w:val="0"/>
        <w:spacing w:before="0" w:after="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99.1</w:t>
      </w:r>
    </w:p>
    <w:p>
      <w:pPr>
        <w:pStyle w:val="TextBody"/>
        <w:bidi w:val="0"/>
        <w:spacing w:before="0" w:after="0"/>
        <w:jc w:val="left"/>
        <w:rPr>
          <w:b/>
          <w:i/>
        </w:rPr>
      </w:pPr>
      <w:r>
        <w:rPr>
          <w:b/>
          <w:i/>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The following communications are being filed in connection with the proposed acquisition of Pacira BioSciences Inc. by a wholly owned subsidiary of Viatris Inc. (“Viatris”).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Viatris posted the following message on LinkedIn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Today, we announced an agreement to acquire Pacira BioSciences, a leader in non-opioid pain therapies.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transaction would add two established medicines and important commercial, market access, medical affairs and R&amp;D capabilities, advancing our strategy to build our innovative medicines business and positioning Viatris as a leader in non-opioid pain management therapies.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It’s another example of our strategy in action as we drive our base business, fuel our innovative portfolio and modernize for sustainable growth.</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Read our press release for more information, including risks related to forward-looking statements. https://newsroom.viatris.com/2026-10-08-Viatris-Agrees-to-Acquire-Pacira-BioSciences,-Advancing-Its-Innovative-Medicines-Strategy-and-Becoming-a-Leader-in-Non-Opioid-Pain-Therapies</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2924175" cy="49053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924175" cy="49053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Viatris posted the following message on X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Today, we announced an agreement to acquire Pacira BioSciences, advancing our strategy to build our innovative medicines business and positioning Viatris as a leader in non-opioid pain management therapies.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Another example of our strategy in action as we drive our base business, fuel our innovative portfolio and modernize for sustainable growth.</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Read our press release for more information, including risks related to fwd-looking statements. https://newsroom.viatris.com/2026-10-08-Viatris-Agrees-to-Acquire-Pacira-BioSciences,-Advancing-Its-Innovative-Medicines-Strategy-and-Becoming-a-Leader-in-Non-Opioid-Pain-Therapies</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2867025" cy="48101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867025" cy="48101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Scott A Smith, Chief Executive Officer of Viatris, posted the following message on LinkedIn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Today marks another important step forward for Viatris.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agreement to acquire Pacira BioSciences builds on the foundation we’ve been creating and advances the strategy we laid out earlier this year—to drive our base business, fuel our innovative portfolio and modernize for sustainable growth.</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Pacira brings established medicines, a promising pipeline and important capabilities that complement our existing portfolio and strengthen our position in non-opioid pain management, an area of significant unmet need.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Just as importantly, this is about where we go from here. We see an opportunity to build on these medicines and capabilities to support the continued growth of our innovative medicines portfolio.</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is another example of our strategy in action as we continue building a healthier, growing Viatris.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I’m excited about what’s ahead and look forward to welcoming the Pacira team to Viatris following close. https://newsroom.viatris.com/2026-10-08-Viatris-Agrees-to-Acquire-Pacira-BioSciences,-Advancing-Its-Innovative-Medicines-Strategy-and-Becoming-a-Leader-in-Non-Opioid-Pain-Therapies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3067050" cy="38290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3067050" cy="38290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Paul Campbell, Interim Chief Financial Officer, Chief Accounting Officer and Corporate Controller of Viatris, re-posted the Viatris LinkedIn post along with the following message on LinkedIn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Today’s announcement reflects the disciplined approach we are taking to investing for growth. Pacira BioSciences would add established, high-margin U.S. medicines that are expected to be immediately accretive, while strengthening our innovative medicines portfolio and adding important capabilities.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transaction is consistent with our financial framework and our commitment to disciplined capital allocation as we continue to build a healthier, growing Viatris.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Andrew Enrietti, Chief Administrative and Transformation Officer of Viatris, re-posted the Viatris LinkedIn post along with the following message on LinkedIn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Today’s announcement is an important step in the continued execution of our strategy and the transformation of Viatris. Pacira BioSciences brings medicines, capabilities and talented colleagues that complement what we are building and can help position us for future growth.</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I’m looking forward to working with teams across both organizations as we prepare to bring our capabilities together and build on the opportunities ahead.</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Philippe Martin, Chief R&amp;D Officer of Viatris, re-posted the Viatris LinkedIn post along with the following message on LinkedIn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There remains significant unmet need for new approaches to pain management. The addition of Pacira BioSciences’ established medicines, promising pipeline, and important U.S. medical affairs and global R&amp;D capabilities would complement the work already underway at Viatris and strengthen our ability to bring meaningful non-opioid treatment options to patients.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By bringing together our scientific expertise and capabilities, we have an exciting opportunity to advance innovation in pain management and make a meaningful difference for patients.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Corinne Le Goff, Chief Commercial Officer of Viatris, re-posted the Viatris LinkedIn post along with the following message on LinkedIn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What excites me about this opportunity is that we’re not only adding established medicines in an important area of unmet need—we’re also adding deep U.S. commercial and market access expertise.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Those capabilities would complement the strengths we already have at Viatris and give us an even stronger platform as we continue to build our U.S. innovative medicines business and a leading position in non-opioid pain management.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i/>
          <w:color w:val="000000"/>
          <w:sz w:val="20"/>
        </w:rPr>
        <w:t>Hemanth Varghese, Chief Strategy Officer of Viatris,</w:t>
      </w:r>
      <w:r>
        <w:rPr>
          <w:rFonts w:ascii="Times New Roman;Times;serif" w:hAnsi="Times New Roman;Times;serif"/>
          <w:b/>
          <w:color w:val="000000"/>
          <w:sz w:val="20"/>
        </w:rPr>
        <w:t> </w:t>
      </w:r>
      <w:r>
        <w:rPr>
          <w:rFonts w:ascii="Times New Roman;Times;serif" w:hAnsi="Times New Roman;Times;serif"/>
          <w:b/>
          <w:i/>
          <w:color w:val="000000"/>
          <w:sz w:val="20"/>
        </w:rPr>
        <w:t>re-posted the Viatris LinkedIn post along with the following message on LinkedIn on October 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At our Investor Event earlier this year, we outlined a clear strategy for growth, including disciplined business development focused on opportunities that strengthen our innovative medicines portfolio and build on our capabilities.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Today’s announcement is an important example of that strategy in action. Pacira BioSciences brings established medicines, a promising pipeline and capabilities that complement our portfolio.</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Proud of the teams who have worked to bring this opportunity forward and excited about what it can mean for Viatris.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communication contains “forward-looking statements” within the meaning of Section 21E of the Securities Exchange Act of 1934, as amended. These statements are made pursuant to the safe harbor provisions of the Private Securities Litigation Reform Act of 1995. Such forward-looking statements may include, without limitation, statements about the transaction (in which, among other things, Viatris, through its wholly-owned subsidiary, will commence a tender offer to acquire all of the outstanding shares of common stock, $0.001 par value per share, of Pacira and, following the consummation of such tender offer, for such wholly-owned subsidiary of Viatris to be merged with and into Pacira),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 not withdraw, in the aggregate, at least a majority of the shares of Pacira’s common stock outstanding as of immediately following the expiration of the tender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more detailed information on the risks and uncertainties associated with Viatris and Pacira, see the risks described in Part I, Item 1A of their respective Annual Reports on Form 10-K for the year ended December 31, 2025, and their other filings with the U.S. Securities and Exchange Commission (the “SEC”). You can access their respective filings with the SEC through the SEC website at www.sec.gov or through their respective websites, and each of Viatris and Pacira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communication or our filings with the SEC. Each of Viatris and Pacira undertakes no obligation to update any statements herein for revisions or changes after the date of this communication other than as required by law.</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Important Information about the Transaction and Where to Find It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tender offer for the outstanding shares of Pacira’s common stock described in this communication has not yet commenced. This document is for informational purposes only and it is neither a recommendation, nor an offer to purchase nor a solicitation of an offer to sell shares of Pacira’s common stock, nor is it a substitute for the tender offer materials that Viatris will file with the SEC on Schedule TO. At the time any such tender offer is commenced, Viatris will prepare and file a Tender Offer Statement, containing an offer to purchase, a form of letter of transmittal and other related tender offer documents, with the SEC, and Pacira will file a Solicitation/Recommendation Statement on Schedule 14D-9 relating to such tender offer with the SEC. The offer to purchase shares will only be made pursuant to the offer to purchase, the letter of transmittal and other related tender offer documents filed as a part of the Schedule TO. Pacira’s stockholders are strongly advised to read these tender offer materials carefully and in their entirety when they become available, as they may be amended or supplemented from time to time, because they will contain important information about such tender offer that Pacira’s stockholders should consider prior to making any decisions with respect to such tender offer, including the terms and conditions of the tender offer. The offer to purchase, letter of transmittal and other related tender offer documents, as well as the Solicitation/Recommendation Statement on Schedule 14D-9, will be sent to all stockholders of Pacira at no expense to them. Once filed, stockholders of Pacira will be able to obtain a free copy of these documents and each of Viatris’ and Pacira’s other documents filed with the SEC at the website maintained by the SEC at www.sec.gov. In addition, a copy of the offer to purchase, form of letter of transmittal and other related tender offer documents (once they become available) may be obtained free of charge by directing a request to Viatris at InvestorRelations@viatris.com. A copy of the Solicitation/Recommendation Statement on Schedule 14D-9 (once it becomes available) also may be obtained free of charge by directing a request to Pacira at secretary@Pacira.com.</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4179</Words>
  <Characters>24666</Characters>
  <CharactersWithSpaces>28740</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