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688340</wp:posOffset>
            </wp:positionH>
            <wp:positionV relativeFrom="page">
              <wp:posOffset>166370</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page">
              <wp:posOffset>688340</wp:posOffset>
            </wp:positionH>
            <wp:positionV relativeFrom="page">
              <wp:posOffset>226060</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t>UNITED STATES</w:t>
      </w:r>
    </w:p>
    <w:p>
      <w:pPr>
        <w:spacing w:after="0" w:line="4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8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9"/>
          <w:szCs w:val="29"/>
          <w:b w:val="1"/>
          <w:bCs w:val="1"/>
          <w:color w:val="auto"/>
        </w:rPr>
        <w:t>SCHEDULE TO</w:t>
      </w:r>
    </w:p>
    <w:p>
      <w:pPr>
        <w:spacing w:after="0" w:line="11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Tender Offer Statement Pursuant to Section 14(d)(1) or 13(e)(1)</w:t>
      </w:r>
    </w:p>
    <w:p>
      <w:pPr>
        <w:spacing w:after="0" w:line="1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PACIRA BIOSCIENCES, INC.</w:t>
      </w:r>
    </w:p>
    <w:p>
      <w:pPr>
        <w:spacing w:after="0" w:line="4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(Name of Subject Company)</w:t>
      </w:r>
    </w:p>
    <w:p>
      <w:pPr>
        <w:spacing w:after="0" w:line="1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PEACH PURCHASER SUB INC.</w:t>
      </w:r>
    </w:p>
    <w:p>
      <w:pPr>
        <w:spacing w:after="0" w:line="4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(Offeror)</w:t>
      </w:r>
    </w:p>
    <w:p>
      <w:pPr>
        <w:spacing w:after="0" w:line="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 Wholly Owned Subsidiary of</w:t>
      </w:r>
    </w:p>
    <w:p>
      <w:pPr>
        <w:spacing w:after="0" w:line="1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VIATRIS INC.</w:t>
      </w:r>
    </w:p>
    <w:p>
      <w:pPr>
        <w:spacing w:after="0" w:line="4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(Parent of Offeror)</w:t>
      </w:r>
    </w:p>
    <w:p>
      <w:pPr>
        <w:spacing w:after="0" w:line="112" w:lineRule="exact"/>
        <w:rPr>
          <w:sz w:val="24"/>
          <w:szCs w:val="24"/>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COMMON STOCK, $0.001 PAR VALUE</w:t>
      </w:r>
    </w:p>
    <w:p>
      <w:pPr>
        <w:spacing w:after="0" w:line="24"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(Title of Class of Securities)</w:t>
      </w:r>
    </w:p>
    <w:p>
      <w:pPr>
        <w:spacing w:after="0" w:line="9"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695127100</w:t>
      </w:r>
    </w:p>
    <w:p>
      <w:pPr>
        <w:spacing w:after="0" w:line="9" w:lineRule="exact"/>
        <w:rPr>
          <w:sz w:val="24"/>
          <w:szCs w:val="24"/>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(CUSIP Number of Class of Securities)</w:t>
      </w:r>
    </w:p>
    <w:p>
      <w:pPr>
        <w:spacing w:after="0" w:line="11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Matthew J. Maletta</w:t>
      </w:r>
    </w:p>
    <w:p>
      <w:pPr>
        <w:spacing w:after="0" w:line="2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Chief Legal Officer</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Viatris Inc.</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1000 Mylan Boulevard</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Canonsburg, Pennsylvania 15317</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(724) 514-1800</w:t>
      </w:r>
    </w:p>
    <w:p>
      <w:pPr>
        <w:spacing w:after="0" w:line="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7"/>
          <w:szCs w:val="17"/>
          <w:b w:val="1"/>
          <w:bCs w:val="1"/>
          <w:color w:val="auto"/>
        </w:rPr>
        <w:t>(Name, address and telephone number of person authorized to receive notices and communications on behalf of filing persons)</w:t>
      </w:r>
    </w:p>
    <w:p>
      <w:pPr>
        <w:spacing w:after="0" w:line="11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i w:val="1"/>
          <w:iCs w:val="1"/>
          <w:color w:val="auto"/>
        </w:rPr>
        <w:t>with copies to:</w:t>
      </w:r>
    </w:p>
    <w:p>
      <w:pPr>
        <w:spacing w:after="0" w:line="2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Mark I. Greene</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Aaron M. Gruber</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Andrew M. Wark</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Cravath, Swaine &amp; Moore LLP</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Two Manhattan West</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375 Ninth Avenue</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New York, NY 10001</w:t>
      </w:r>
    </w:p>
    <w:p>
      <w:pPr>
        <w:spacing w:after="0" w:line="9" w:lineRule="exact"/>
        <w:rPr>
          <w:sz w:val="24"/>
          <w:szCs w:val="24"/>
          <w:color w:val="auto"/>
        </w:rPr>
      </w:pPr>
    </w:p>
    <w:p>
      <w:pPr>
        <w:ind w:left="4740" w:hanging="426"/>
        <w:spacing w:after="0"/>
        <w:tabs>
          <w:tab w:leader="none" w:pos="4740" w:val="left"/>
        </w:tabs>
        <w:numPr>
          <w:ilvl w:val="1"/>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474-1000</w:t>
      </w:r>
    </w:p>
    <w:p>
      <w:pPr>
        <w:spacing w:after="0" w:line="103" w:lineRule="exact"/>
        <w:rPr>
          <w:rFonts w:ascii="Times New Roman" w:cs="Times New Roman" w:eastAsia="Times New Roman" w:hAnsi="Times New Roman"/>
          <w:sz w:val="18"/>
          <w:szCs w:val="18"/>
          <w:b w:val="1"/>
          <w:bCs w:val="1"/>
          <w:color w:val="auto"/>
        </w:rPr>
      </w:pPr>
    </w:p>
    <w:p>
      <w:pPr>
        <w:ind w:left="360" w:hanging="352"/>
        <w:spacing w:after="0" w:line="306" w:lineRule="auto"/>
        <w:tabs>
          <w:tab w:leader="none" w:pos="36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Check the box if any part of the fee is offset as provided by Rule 0-11(a)(2) and identify the filing with which the offsetting fee was previously paid. Identify the previous filing by registration statement number, or the Form or Schedule and the date of its filing.</w:t>
      </w:r>
    </w:p>
    <w:p>
      <w:pPr>
        <w:sectPr>
          <w:pgSz w:w="11900" w:h="16838" w:orient="portrait"/>
          <w:cols w:equalWidth="0" w:num="1">
            <w:col w:w="9640"/>
          </w:cols>
          <w:pgMar w:left="1080" w:top="516" w:right="1179" w:bottom="1440" w:gutter="0" w:footer="0" w:header="0"/>
        </w:sectPr>
      </w:pPr>
    </w:p>
    <w:p>
      <w:pPr>
        <w:spacing w:after="0" w:line="106"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Amount Previously Paid: N/A</w:t>
      </w:r>
    </w:p>
    <w:p>
      <w:pPr>
        <w:spacing w:after="0" w:line="27"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7"/>
          <w:szCs w:val="17"/>
          <w:color w:val="auto"/>
        </w:rPr>
        <w:t>Form or Registration No.: N/A</w:t>
      </w:r>
    </w:p>
    <w:p>
      <w:pPr>
        <w:spacing w:after="0" w:line="20" w:lineRule="exact"/>
        <w:rPr>
          <w:sz w:val="24"/>
          <w:szCs w:val="24"/>
          <w:color w:val="auto"/>
        </w:rPr>
      </w:pPr>
      <w:r>
        <w:rPr>
          <w:sz w:val="24"/>
          <w:szCs w:val="24"/>
          <w:color w:val="auto"/>
        </w:rPr>
        <w:br w:type="column"/>
      </w:r>
    </w:p>
    <w:p>
      <w:pPr>
        <w:spacing w:after="0" w:line="8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Filing Party: N/A</w:t>
      </w:r>
    </w:p>
    <w:p>
      <w:pPr>
        <w:spacing w:after="0" w:line="3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Date Filed: N/A</w:t>
      </w:r>
    </w:p>
    <w:p>
      <w:pPr>
        <w:spacing w:after="0" w:line="156" w:lineRule="exact"/>
        <w:rPr>
          <w:sz w:val="24"/>
          <w:szCs w:val="24"/>
          <w:color w:val="auto"/>
        </w:rPr>
      </w:pPr>
    </w:p>
    <w:p>
      <w:pPr>
        <w:sectPr>
          <w:pgSz w:w="11900" w:h="16838" w:orient="portrait"/>
          <w:cols w:equalWidth="0" w:num="2">
            <w:col w:w="3820" w:space="720"/>
            <w:col w:w="5100"/>
          </w:cols>
          <w:pgMar w:left="1080" w:top="516" w:right="1179" w:bottom="1440" w:gutter="0" w:footer="0" w:header="0"/>
          <w:type w:val="continuous"/>
        </w:sectPr>
      </w:pPr>
    </w:p>
    <w:p>
      <w:pPr>
        <w:ind w:right="660" w:firstLine="8"/>
        <w:spacing w:after="0" w:line="353" w:lineRule="auto"/>
        <w:tabs>
          <w:tab w:leader="none" w:pos="351"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the box if the filing relates solely to preliminary communications made before the commencement of a tender offer. Check the appropriate boxes below to designate any transactions to which the statement relates:</w:t>
      </w:r>
    </w:p>
    <w:p>
      <w:pPr>
        <w:spacing w:after="0" w:line="39" w:lineRule="exact"/>
        <w:rPr>
          <w:rFonts w:ascii="MS PGothic" w:cs="MS PGothic" w:eastAsia="MS PGothic" w:hAnsi="MS PGothic"/>
          <w:sz w:val="18"/>
          <w:szCs w:val="18"/>
          <w:color w:val="auto"/>
        </w:rPr>
      </w:pPr>
    </w:p>
    <w:p>
      <w:pPr>
        <w:ind w:left="720" w:hanging="356"/>
        <w:spacing w:after="0"/>
        <w:tabs>
          <w:tab w:leader="none" w:pos="72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third-party tender offer subject to Rule 14d-1.</w:t>
      </w:r>
    </w:p>
    <w:p>
      <w:pPr>
        <w:spacing w:after="0" w:line="117" w:lineRule="exact"/>
        <w:rPr>
          <w:rFonts w:ascii="MS PGothic" w:cs="MS PGothic" w:eastAsia="MS PGothic" w:hAnsi="MS PGothic"/>
          <w:sz w:val="18"/>
          <w:szCs w:val="18"/>
          <w:color w:val="auto"/>
        </w:rPr>
      </w:pPr>
    </w:p>
    <w:p>
      <w:pPr>
        <w:ind w:left="720" w:hanging="353"/>
        <w:spacing w:after="0"/>
        <w:tabs>
          <w:tab w:leader="none" w:pos="720" w:val="left"/>
        </w:tabs>
        <w:numPr>
          <w:ilvl w:val="2"/>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issuer tender offer subject to Rule 13e-4.</w:t>
      </w:r>
    </w:p>
    <w:p>
      <w:pPr>
        <w:spacing w:after="0" w:line="117" w:lineRule="exact"/>
        <w:rPr>
          <w:rFonts w:ascii="MS PGothic" w:cs="MS PGothic" w:eastAsia="MS PGothic" w:hAnsi="MS PGothic"/>
          <w:sz w:val="18"/>
          <w:szCs w:val="18"/>
          <w:color w:val="auto"/>
        </w:rPr>
      </w:pPr>
    </w:p>
    <w:p>
      <w:pPr>
        <w:ind w:left="720" w:hanging="353"/>
        <w:spacing w:after="0"/>
        <w:tabs>
          <w:tab w:leader="none" w:pos="720" w:val="left"/>
        </w:tabs>
        <w:numPr>
          <w:ilvl w:val="2"/>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going-private transaction subject to Rule 13e-3.</w:t>
      </w:r>
    </w:p>
    <w:p>
      <w:pPr>
        <w:spacing w:after="0" w:line="117" w:lineRule="exact"/>
        <w:rPr>
          <w:rFonts w:ascii="MS PGothic" w:cs="MS PGothic" w:eastAsia="MS PGothic" w:hAnsi="MS PGothic"/>
          <w:sz w:val="18"/>
          <w:szCs w:val="18"/>
          <w:color w:val="auto"/>
        </w:rPr>
      </w:pPr>
    </w:p>
    <w:p>
      <w:pPr>
        <w:ind w:left="720" w:hanging="353"/>
        <w:spacing w:after="0"/>
        <w:tabs>
          <w:tab w:leader="none" w:pos="720" w:val="left"/>
        </w:tabs>
        <w:numPr>
          <w:ilvl w:val="2"/>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amendment to Schedule 13D under Rule 13d-2.</w:t>
      </w:r>
    </w:p>
    <w:p>
      <w:pPr>
        <w:spacing w:after="0" w:line="7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Check the following box if the filing is a final amendment reporting the results of the tender offer: </w:t>
      </w:r>
      <w:r>
        <w:rPr>
          <w:rFonts w:ascii="MS PGothic" w:cs="MS PGothic" w:eastAsia="MS PGothic" w:hAnsi="MS PGothic"/>
          <w:sz w:val="18"/>
          <w:szCs w:val="18"/>
          <w:color w:val="auto"/>
        </w:rPr>
        <w:t>☐</w:t>
      </w:r>
    </w:p>
    <w:p>
      <w:pPr>
        <w:spacing w:after="0" w:line="15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If applicable, check the appropriate box(es) below to designate the appropriate rule provision(s) relied upon:</w:t>
      </w:r>
    </w:p>
    <w:p>
      <w:pPr>
        <w:spacing w:after="0" w:line="117" w:lineRule="exact"/>
        <w:rPr>
          <w:sz w:val="24"/>
          <w:szCs w:val="24"/>
          <w:color w:val="auto"/>
        </w:rPr>
      </w:pPr>
    </w:p>
    <w:p>
      <w:pPr>
        <w:ind w:left="720" w:hanging="353"/>
        <w:spacing w:after="0"/>
        <w:tabs>
          <w:tab w:leader="none" w:pos="7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13e-4(i) (Cross-Border Issuer Tender Offer)</w:t>
      </w:r>
    </w:p>
    <w:p>
      <w:pPr>
        <w:spacing w:after="0" w:line="117" w:lineRule="exact"/>
        <w:rPr>
          <w:rFonts w:ascii="MS PGothic" w:cs="MS PGothic" w:eastAsia="MS PGothic" w:hAnsi="MS PGothic"/>
          <w:sz w:val="18"/>
          <w:szCs w:val="18"/>
          <w:color w:val="auto"/>
        </w:rPr>
      </w:pPr>
    </w:p>
    <w:p>
      <w:pPr>
        <w:ind w:left="720" w:hanging="353"/>
        <w:spacing w:after="0"/>
        <w:tabs>
          <w:tab w:leader="none" w:pos="7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14d-1(d) (Cross-Border Third-Party Tender Offer)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152400</wp:posOffset>
            </wp:positionV>
            <wp:extent cx="61722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212725</wp:posOffset>
            </wp:positionV>
            <wp:extent cx="617220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-408305</wp:posOffset>
            </wp:positionH>
            <wp:positionV relativeFrom="paragraph">
              <wp:posOffset>349885</wp:posOffset>
            </wp:positionV>
            <wp:extent cx="699516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640"/>
          </w:cols>
          <w:pgMar w:left="1080" w:top="516" w:right="1179" w:bottom="1440" w:gutter="0" w:footer="0" w:header="0"/>
          <w:type w:val="continuous"/>
        </w:sectPr>
      </w:pPr>
    </w:p>
    <w:bookmarkStart w:id="1" w:name="page2"/>
    <w:bookmarkEnd w:id="1"/>
    <w:p>
      <w:pPr>
        <w:ind w:left="300" w:right="319" w:firstLine="360"/>
        <w:spacing w:after="0" w:line="272" w:lineRule="auto"/>
        <w:rPr>
          <w:sz w:val="20"/>
          <w:szCs w:val="20"/>
          <w:color w:val="auto"/>
        </w:rPr>
      </w:pPr>
      <w:r>
        <w:rPr>
          <w:rFonts w:ascii="Times New Roman" w:cs="Times New Roman" w:eastAsia="Times New Roman" w:hAnsi="Times New Roman"/>
          <w:sz w:val="17"/>
          <w:szCs w:val="17"/>
          <w:color w:val="auto"/>
        </w:rPr>
        <w:t>This Tender Offer Statement on Schedule TO (this “Schedule TO”) relates to the tender offer by Peach Purchaser Sub Inc., a Delaware corporation (“Purchaser”) and a wholly owned subsidiary of Viatris Inc., a Delaware corporation (“Viatris”), for all of the outstanding shares of common stock, par value $0.001 per share (“Shares”), of Pacira BioSciences, Inc., a Delaware corporation (“Pacira”), for $36.50 per Share, to the seller thereof in cash, net of applicable withholding taxes and without interest, on the terms and subject to the conditions set forth in the Offer to Purchase dated October 30, 2026 (together with any amendments and supplements thereto, the “Offer to Purchase”) and in the related Letter of Transmittal (the “Letter of Transmittal” and, together with the Offer to Purchase, the “Offer”), copies of which are attached hereto as Exhibit (a)(1)(A) and Exhibit (a)(1)(B), respectively.</w:t>
      </w:r>
    </w:p>
    <w:p>
      <w:pPr>
        <w:spacing w:after="0" w:line="64" w:lineRule="exact"/>
        <w:rPr>
          <w:sz w:val="20"/>
          <w:szCs w:val="20"/>
          <w:color w:val="auto"/>
        </w:rPr>
      </w:pPr>
    </w:p>
    <w:p>
      <w:pPr>
        <w:ind w:left="300" w:right="359" w:firstLine="360"/>
        <w:spacing w:after="0" w:line="266" w:lineRule="auto"/>
        <w:rPr>
          <w:sz w:val="20"/>
          <w:szCs w:val="20"/>
          <w:color w:val="auto"/>
        </w:rPr>
      </w:pPr>
      <w:r>
        <w:rPr>
          <w:rFonts w:ascii="Times New Roman" w:cs="Times New Roman" w:eastAsia="Times New Roman" w:hAnsi="Times New Roman"/>
          <w:sz w:val="18"/>
          <w:szCs w:val="18"/>
          <w:color w:val="auto"/>
        </w:rPr>
        <w:t>All the information set forth in the Offer to Purchase, including Schedule I thereto, is incorporated by reference herein in response to Items 1 through 9 and Item 11 of this Schedule TO, and is supplemented by the information specifically provided in this Schedule TO.</w:t>
      </w:r>
    </w:p>
    <w:p>
      <w:pPr>
        <w:spacing w:after="0" w:line="68" w:lineRule="exact"/>
        <w:rPr>
          <w:sz w:val="20"/>
          <w:szCs w:val="20"/>
          <w:color w:val="auto"/>
        </w:rPr>
      </w:pPr>
    </w:p>
    <w:p>
      <w:pPr>
        <w:ind w:left="300" w:right="619" w:firstLine="360"/>
        <w:spacing w:after="0" w:line="266" w:lineRule="auto"/>
        <w:rPr>
          <w:sz w:val="20"/>
          <w:szCs w:val="20"/>
          <w:color w:val="auto"/>
        </w:rPr>
      </w:pPr>
      <w:r>
        <w:rPr>
          <w:rFonts w:ascii="Times New Roman" w:cs="Times New Roman" w:eastAsia="Times New Roman" w:hAnsi="Times New Roman"/>
          <w:sz w:val="18"/>
          <w:szCs w:val="18"/>
          <w:color w:val="auto"/>
        </w:rPr>
        <w:t>The Agreement and Plan of Merger, dated October 8, 2026 (as it may be amended from time to time, the “Merger Agreement”), by and among Pacira, Viatris and Purchaser, a copy of which is attached as Exhibit (d)(1) hereto, is incorporated herein by reference with respect to Items 4 through 11 of this Schedule TO.</w:t>
      </w:r>
    </w:p>
    <w:p>
      <w:pPr>
        <w:spacing w:after="0" w:line="172" w:lineRule="exact"/>
        <w:rPr>
          <w:sz w:val="20"/>
          <w:szCs w:val="20"/>
          <w:color w:val="auto"/>
        </w:rPr>
      </w:pPr>
    </w:p>
    <w:p>
      <w:pPr>
        <w:ind w:left="30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i w:val="1"/>
          <w:iCs w:val="1"/>
          <w:color w:val="auto"/>
        </w:rPr>
        <w:t>Summary Term Sheet.</w:t>
      </w:r>
    </w:p>
    <w:p>
      <w:pPr>
        <w:spacing w:after="0" w:line="121" w:lineRule="exact"/>
        <w:rPr>
          <w:sz w:val="20"/>
          <w:szCs w:val="20"/>
          <w:color w:val="auto"/>
        </w:rPr>
      </w:pPr>
    </w:p>
    <w:p>
      <w:pPr>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The information set forth in the section of the Offer to Purchase entitled “Summary Term Sheet” is incorporated herein by reference.</w:t>
      </w:r>
    </w:p>
    <w:p>
      <w:pPr>
        <w:spacing w:after="0" w:line="158" w:lineRule="exact"/>
        <w:rPr>
          <w:sz w:val="20"/>
          <w:szCs w:val="20"/>
          <w:color w:val="auto"/>
        </w:rPr>
      </w:pPr>
    </w:p>
    <w:p>
      <w:pPr>
        <w:ind w:left="30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i w:val="1"/>
          <w:iCs w:val="1"/>
          <w:color w:val="auto"/>
        </w:rPr>
        <w:t>Subject Company Information.</w:t>
      </w:r>
    </w:p>
    <w:p>
      <w:pPr>
        <w:spacing w:after="0" w:line="121" w:lineRule="exact"/>
        <w:rPr>
          <w:sz w:val="20"/>
          <w:szCs w:val="20"/>
          <w:color w:val="auto"/>
        </w:rPr>
      </w:pPr>
    </w:p>
    <w:p>
      <w:pPr>
        <w:ind w:left="300" w:right="339" w:firstLine="352"/>
        <w:spacing w:after="0" w:line="289" w:lineRule="auto"/>
        <w:tabs>
          <w:tab w:leader="none" w:pos="90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name of the subject company and the issuer of the securities to which this Schedule TO relates is Pacira BioSciences, Inc., a Delaware corporation. Pacira’s principal executive offices are located at 2000 Sierra Point Parkway, Suite 900, Brisbane, California 94005. Pacira’s telephone number at such address is (650) 242-8052.</w:t>
      </w:r>
    </w:p>
    <w:p>
      <w:pPr>
        <w:spacing w:after="0" w:line="49" w:lineRule="exact"/>
        <w:rPr>
          <w:rFonts w:ascii="Times New Roman" w:cs="Times New Roman" w:eastAsia="Times New Roman" w:hAnsi="Times New Roman"/>
          <w:sz w:val="17"/>
          <w:szCs w:val="17"/>
          <w:color w:val="auto"/>
        </w:rPr>
      </w:pPr>
    </w:p>
    <w:p>
      <w:pPr>
        <w:ind w:left="300" w:right="319" w:firstLine="352"/>
        <w:spacing w:after="0" w:line="253" w:lineRule="auto"/>
        <w:tabs>
          <w:tab w:leader="none" w:pos="9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Schedule TO relates to all outstanding Shares. Pacira has advised Viatris and Purchaser that, as of October 23, 2026, 39,957,678 Shares were issued and outstanding (excluding 9,018,591 Shares held in treasury by Pacira as of such date); 5,870,185 Shares were subject to issuance pursuant to outstanding options to purchase Shares granted by Pacira pursuant to its 2011 Stock Incentive Plan (the “Pacira Equity Plan”) or Pacira’s 2014 Inducement Plan (the “Pacira Inducement Plan”); 4,463,236 Shares were subject to, or otherwise deliverable in connection with, outstanding restricted stock unit awards granted pursuant to the Pacira Equity Plan or the Pacira Inducement Plan; 198,257 and 495,641 Shares were subject to, or otherwise deliverable in connection with, outstanding performance share unit awards granted pursuant to the Pacira Equity Plan (“Pacira PSUs”), assuming target and maximum level of performance under such Pacira PSUs, respectively; 2,328,419 Shares were reserved for future issuance under the Pacira Equity Plan; 737,772 Shares were reserved for future issuance under the Pacira Inducement Plan; 869,062 Shares were reserved for future issuance under Pacira’s 2014 Employee Stock Purchase Plan; and 9,628,260 Shares were reserved for future issuance upon conversion of Pacira’s 2.125% Convertible Senior Notes due 2029.</w:t>
      </w:r>
    </w:p>
    <w:p>
      <w:pPr>
        <w:spacing w:after="0" w:line="79" w:lineRule="exact"/>
        <w:rPr>
          <w:rFonts w:ascii="Times New Roman" w:cs="Times New Roman" w:eastAsia="Times New Roman" w:hAnsi="Times New Roman"/>
          <w:sz w:val="18"/>
          <w:szCs w:val="18"/>
          <w:color w:val="auto"/>
        </w:rPr>
      </w:pPr>
    </w:p>
    <w:p>
      <w:pPr>
        <w:ind w:left="300" w:right="319" w:firstLine="352"/>
        <w:spacing w:after="0" w:line="282" w:lineRule="auto"/>
        <w:tabs>
          <w:tab w:leader="none" w:pos="90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set forth in the section of the Offer to Purchase entitled “Price Range of Shares; Dividends” is incorporated herein by reference.</w:t>
      </w:r>
    </w:p>
    <w:p>
      <w:pPr>
        <w:spacing w:after="0" w:line="158" w:lineRule="exact"/>
        <w:rPr>
          <w:sz w:val="20"/>
          <w:szCs w:val="20"/>
          <w:color w:val="auto"/>
        </w:rPr>
      </w:pPr>
    </w:p>
    <w:p>
      <w:pPr>
        <w:ind w:left="30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i w:val="1"/>
          <w:iCs w:val="1"/>
          <w:color w:val="auto"/>
        </w:rPr>
        <w:t>Identity and Background of Filing Person.</w:t>
      </w:r>
    </w:p>
    <w:p>
      <w:pPr>
        <w:spacing w:after="0" w:line="121" w:lineRule="exact"/>
        <w:rPr>
          <w:sz w:val="20"/>
          <w:szCs w:val="20"/>
          <w:color w:val="auto"/>
        </w:rPr>
      </w:pPr>
    </w:p>
    <w:p>
      <w:pPr>
        <w:ind w:left="300" w:right="359" w:firstLine="352"/>
        <w:spacing w:after="0" w:line="261" w:lineRule="auto"/>
        <w:tabs>
          <w:tab w:leader="none" w:pos="90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 This Schedule TO is filed by Viatris Inc., a Delaware corporation, and Peach Purchaser Sub Inc., a Delaware corporation and a wholly owned subsidiary of Viatris. The information set forth in the section of the Offer to Purchase entitled “Certain Information Concerning Viatris and Purchaser” and in Schedule I to the Offer to Purchase is incorporated herein by reference.</w:t>
      </w:r>
    </w:p>
    <w:p>
      <w:pPr>
        <w:spacing w:after="0" w:line="176" w:lineRule="exact"/>
        <w:rPr>
          <w:sz w:val="20"/>
          <w:szCs w:val="20"/>
          <w:color w:val="auto"/>
        </w:rPr>
      </w:pPr>
    </w:p>
    <w:p>
      <w:pPr>
        <w:ind w:left="30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i w:val="1"/>
          <w:iCs w:val="1"/>
          <w:color w:val="auto"/>
        </w:rPr>
        <w:t>Terms of the Transaction.</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The information set forth in the Offer to Purchase is incorporated herein by reference.</w:t>
      </w:r>
    </w:p>
    <w:p>
      <w:pPr>
        <w:spacing w:after="0" w:line="221" w:lineRule="exact"/>
        <w:rPr>
          <w:sz w:val="20"/>
          <w:szCs w:val="20"/>
          <w:color w:val="auto"/>
        </w:rPr>
      </w:pPr>
    </w:p>
    <w:p>
      <w:pPr>
        <w:ind w:left="30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i w:val="1"/>
          <w:iCs w:val="1"/>
          <w:color w:val="auto"/>
        </w:rPr>
        <w:t>Past Contacts, Transactions, Negotiations and Agreements.</w:t>
      </w:r>
    </w:p>
    <w:p>
      <w:pPr>
        <w:spacing w:after="0" w:line="121" w:lineRule="exact"/>
        <w:rPr>
          <w:sz w:val="20"/>
          <w:szCs w:val="20"/>
          <w:color w:val="auto"/>
        </w:rPr>
      </w:pPr>
    </w:p>
    <w:p>
      <w:pPr>
        <w:ind w:left="300" w:right="319" w:firstLine="352"/>
        <w:spacing w:after="0" w:line="261" w:lineRule="auto"/>
        <w:tabs>
          <w:tab w:leader="none" w:pos="90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(b) The information set forth in the sections of the Offer to Purchase entitled “Summary Term Sheet”, “Introduction”, “Certain Information Concerning Viatris and Purchaser”, “Background of the Offer; Past Contacts or Negotiations with Pacira”, “The Transaction Agreements” and “Purpose of the Offer; Plans for Pacira”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108585</wp:posOffset>
            </wp:positionV>
            <wp:extent cx="699516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2" w:name="page3"/>
    <w:bookmarkEnd w:id="2"/>
    <w:p>
      <w:pPr>
        <w:ind w:left="30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i w:val="1"/>
          <w:iCs w:val="1"/>
          <w:color w:val="auto"/>
        </w:rPr>
        <w:t>Purposes of the Transaction and Plans or Proposals.</w:t>
      </w:r>
    </w:p>
    <w:p>
      <w:pPr>
        <w:spacing w:after="0" w:line="121" w:lineRule="exact"/>
        <w:rPr>
          <w:sz w:val="20"/>
          <w:szCs w:val="20"/>
          <w:color w:val="auto"/>
        </w:rPr>
      </w:pPr>
    </w:p>
    <w:p>
      <w:pPr>
        <w:ind w:left="300" w:right="1059" w:firstLine="352"/>
        <w:spacing w:after="0" w:line="282" w:lineRule="auto"/>
        <w:tabs>
          <w:tab w:leader="none" w:pos="90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set forth in the sections of the Offer to Purchase entitled “Summary Term Sheet”, “Introduction” and “Purpose of the Offer; Plans for Pacira” is incorporated herein by reference.</w:t>
      </w:r>
    </w:p>
    <w:p>
      <w:pPr>
        <w:spacing w:after="0" w:line="54" w:lineRule="exact"/>
        <w:rPr>
          <w:sz w:val="20"/>
          <w:szCs w:val="20"/>
          <w:color w:val="auto"/>
        </w:rPr>
      </w:pPr>
    </w:p>
    <w:p>
      <w:pPr>
        <w:ind w:left="300" w:right="539" w:firstLine="352"/>
        <w:spacing w:after="0" w:line="261" w:lineRule="auto"/>
        <w:tabs>
          <w:tab w:leader="none" w:pos="90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 The information set forth in the sections of the Offer to Purchase entitled “Summary Term Sheet”, “Introduction”, “Background of the Offer; Past Contacts or Negotiations with Pacira”, “The Transaction Agreements”, “Purpose of the Offer; Plans for Pacira”, “Certain Effects of the Offer” and “Dividends and Distributions” is incorporated herein by reference.</w:t>
      </w:r>
    </w:p>
    <w:p>
      <w:pPr>
        <w:spacing w:after="0" w:line="176" w:lineRule="exact"/>
        <w:rPr>
          <w:sz w:val="20"/>
          <w:szCs w:val="20"/>
          <w:color w:val="auto"/>
        </w:rPr>
      </w:pPr>
    </w:p>
    <w:p>
      <w:pPr>
        <w:ind w:left="30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i w:val="1"/>
          <w:iCs w:val="1"/>
          <w:color w:val="auto"/>
        </w:rPr>
        <w:t>Source and Amount of Funds or Other Consideration.</w:t>
      </w:r>
    </w:p>
    <w:p>
      <w:pPr>
        <w:spacing w:after="0" w:line="121" w:lineRule="exact"/>
        <w:rPr>
          <w:sz w:val="20"/>
          <w:szCs w:val="20"/>
          <w:color w:val="auto"/>
        </w:rPr>
      </w:pPr>
    </w:p>
    <w:p>
      <w:pPr>
        <w:ind w:left="300" w:right="539" w:firstLine="352"/>
        <w:spacing w:after="0" w:line="282" w:lineRule="auto"/>
        <w:tabs>
          <w:tab w:leader="none" w:pos="90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(d) The information set forth in the sections of the Offer to Purchase entitled “Summary Term Sheet” and “Source and Amount of Funds” is incorporated herein by reference.</w:t>
      </w:r>
    </w:p>
    <w:p>
      <w:pPr>
        <w:spacing w:after="0" w:line="94" w:lineRule="exact"/>
        <w:rPr>
          <w:rFonts w:ascii="Times New Roman" w:cs="Times New Roman" w:eastAsia="Times New Roman" w:hAnsi="Times New Roman"/>
          <w:sz w:val="18"/>
          <w:szCs w:val="18"/>
          <w:color w:val="auto"/>
        </w:rPr>
      </w:pPr>
    </w:p>
    <w:p>
      <w:pPr>
        <w:ind w:left="900" w:hanging="248"/>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 is not subject to a financing condition.</w:t>
      </w:r>
    </w:p>
    <w:p>
      <w:pPr>
        <w:spacing w:after="0" w:line="221" w:lineRule="exact"/>
        <w:rPr>
          <w:sz w:val="20"/>
          <w:szCs w:val="20"/>
          <w:color w:val="auto"/>
        </w:rPr>
      </w:pPr>
    </w:p>
    <w:p>
      <w:pPr>
        <w:ind w:left="30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i w:val="1"/>
          <w:iCs w:val="1"/>
          <w:color w:val="auto"/>
        </w:rPr>
        <w:t>Interest in Securities of the Subject Company.</w:t>
      </w:r>
    </w:p>
    <w:p>
      <w:pPr>
        <w:spacing w:after="0" w:line="121" w:lineRule="exact"/>
        <w:rPr>
          <w:sz w:val="20"/>
          <w:szCs w:val="20"/>
          <w:color w:val="auto"/>
        </w:rPr>
      </w:pPr>
    </w:p>
    <w:p>
      <w:pPr>
        <w:ind w:left="300" w:right="499" w:firstLine="352"/>
        <w:spacing w:after="0" w:line="266" w:lineRule="auto"/>
        <w:tabs>
          <w:tab w:leader="none" w:pos="90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(b) The information set forth in the sections of the Offer to Purchase entitled “Summary Term Sheet”, “Certain Information Concerning Viatris and Purchaser”, “Purpose of the Offer; Plans for Pacira” and “The Transaction Agreements” is incorporated herein by reference.</w:t>
      </w:r>
    </w:p>
    <w:p>
      <w:pPr>
        <w:spacing w:after="0" w:line="172" w:lineRule="exact"/>
        <w:rPr>
          <w:sz w:val="20"/>
          <w:szCs w:val="20"/>
          <w:color w:val="auto"/>
        </w:rPr>
      </w:pPr>
    </w:p>
    <w:p>
      <w:pPr>
        <w:ind w:left="30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8"/>
          <w:szCs w:val="18"/>
          <w:b w:val="1"/>
          <w:bCs w:val="1"/>
          <w:i w:val="1"/>
          <w:iCs w:val="1"/>
          <w:color w:val="auto"/>
        </w:rPr>
        <w:t>Persons/Assets Retained, Employed, Compensated or Used.</w:t>
      </w:r>
    </w:p>
    <w:p>
      <w:pPr>
        <w:spacing w:after="0" w:line="121" w:lineRule="exact"/>
        <w:rPr>
          <w:sz w:val="20"/>
          <w:szCs w:val="20"/>
          <w:color w:val="auto"/>
        </w:rPr>
      </w:pPr>
    </w:p>
    <w:p>
      <w:pPr>
        <w:ind w:left="300" w:right="839" w:firstLine="352"/>
        <w:spacing w:after="0" w:line="261" w:lineRule="auto"/>
        <w:tabs>
          <w:tab w:leader="none" w:pos="90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set forth in the sections of the Offer to Purchase entitled “Summary Term Sheet”, “Procedures for Accepting the Offer and Tendering Shares”, “Background of the Offer; Past Contacts or Negotiations with Pacira”, “The Transaction Agreements” and “Fees and Expenses” is incorporated herein by reference.</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 xml:space="preserve">Item 10. </w:t>
      </w:r>
      <w:r>
        <w:rPr>
          <w:rFonts w:ascii="Times New Roman" w:cs="Times New Roman" w:eastAsia="Times New Roman" w:hAnsi="Times New Roman"/>
          <w:sz w:val="18"/>
          <w:szCs w:val="18"/>
          <w:b w:val="1"/>
          <w:bCs w:val="1"/>
          <w:i w:val="1"/>
          <w:iCs w:val="1"/>
          <w:color w:val="auto"/>
        </w:rPr>
        <w:t>Financial Statements.</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 xml:space="preserve">Item 11. </w:t>
      </w:r>
      <w:r>
        <w:rPr>
          <w:rFonts w:ascii="Times New Roman" w:cs="Times New Roman" w:eastAsia="Times New Roman" w:hAnsi="Times New Roman"/>
          <w:sz w:val="18"/>
          <w:szCs w:val="18"/>
          <w:b w:val="1"/>
          <w:bCs w:val="1"/>
          <w:i w:val="1"/>
          <w:iCs w:val="1"/>
          <w:color w:val="auto"/>
        </w:rPr>
        <w:t>Additional Information.</w:t>
      </w:r>
    </w:p>
    <w:p>
      <w:pPr>
        <w:spacing w:after="0" w:line="121" w:lineRule="exact"/>
        <w:rPr>
          <w:sz w:val="20"/>
          <w:szCs w:val="20"/>
          <w:color w:val="auto"/>
        </w:rPr>
      </w:pPr>
    </w:p>
    <w:p>
      <w:pPr>
        <w:ind w:left="300" w:right="359" w:firstLine="360"/>
        <w:spacing w:after="0" w:line="266" w:lineRule="auto"/>
        <w:rPr>
          <w:sz w:val="20"/>
          <w:szCs w:val="20"/>
          <w:color w:val="auto"/>
        </w:rPr>
      </w:pPr>
      <w:r>
        <w:rPr>
          <w:rFonts w:ascii="Times New Roman" w:cs="Times New Roman" w:eastAsia="Times New Roman" w:hAnsi="Times New Roman"/>
          <w:sz w:val="18"/>
          <w:szCs w:val="18"/>
          <w:color w:val="auto"/>
        </w:rPr>
        <w:t>(a)(1) The information set forth in the sections of the Offer to Purchase entitled “Certain Information Concerning Viatris and Purchaser”, “Background of the Offer; Past Contacts or Negotiations with Pacira”, “Purpose of the Offer; Plans for Pacira” and “The Transaction Agreements” is incorporated herein by reference.</w:t>
      </w:r>
    </w:p>
    <w:p>
      <w:pPr>
        <w:spacing w:after="0" w:line="68" w:lineRule="exact"/>
        <w:rPr>
          <w:sz w:val="20"/>
          <w:szCs w:val="20"/>
          <w:color w:val="auto"/>
        </w:rPr>
      </w:pPr>
    </w:p>
    <w:p>
      <w:pPr>
        <w:ind w:left="300" w:right="859" w:firstLine="360"/>
        <w:spacing w:after="0" w:line="266" w:lineRule="auto"/>
        <w:rPr>
          <w:sz w:val="20"/>
          <w:szCs w:val="20"/>
          <w:color w:val="auto"/>
        </w:rPr>
      </w:pPr>
      <w:r>
        <w:rPr>
          <w:rFonts w:ascii="Times New Roman" w:cs="Times New Roman" w:eastAsia="Times New Roman" w:hAnsi="Times New Roman"/>
          <w:sz w:val="18"/>
          <w:szCs w:val="18"/>
          <w:color w:val="auto"/>
        </w:rPr>
        <w:t>(a)(2) The information set forth in the sections of the Offer to Purchase entitled “Summary Term Sheet”, “Purpose of the Offer; Plans for Pacira”, “Conditions to the Offer” and “Certain Legal Matters; Regulatory Approvals” is incorporated herein by reference.</w:t>
      </w:r>
    </w:p>
    <w:p>
      <w:pPr>
        <w:spacing w:after="0" w:line="68" w:lineRule="exact"/>
        <w:rPr>
          <w:sz w:val="20"/>
          <w:szCs w:val="20"/>
          <w:color w:val="auto"/>
        </w:rPr>
      </w:pPr>
    </w:p>
    <w:p>
      <w:pPr>
        <w:ind w:left="300" w:right="339" w:firstLine="360"/>
        <w:spacing w:after="0" w:line="312" w:lineRule="auto"/>
        <w:rPr>
          <w:sz w:val="20"/>
          <w:szCs w:val="20"/>
          <w:color w:val="auto"/>
        </w:rPr>
      </w:pPr>
      <w:r>
        <w:rPr>
          <w:rFonts w:ascii="Times New Roman" w:cs="Times New Roman" w:eastAsia="Times New Roman" w:hAnsi="Times New Roman"/>
          <w:sz w:val="17"/>
          <w:szCs w:val="17"/>
          <w:color w:val="auto"/>
        </w:rPr>
        <w:t>(a)(3) The information set forth in the sections of the Offer to Purchase entitled “Conditions to the Offer”, “The Transaction Agreements” and “Certain Legal Matters; Regulatory Approvals” is incorporated herein by reference.</w:t>
      </w:r>
    </w:p>
    <w:p>
      <w:pPr>
        <w:spacing w:after="0" w:line="32" w:lineRule="exact"/>
        <w:rPr>
          <w:sz w:val="20"/>
          <w:szCs w:val="20"/>
          <w:color w:val="auto"/>
        </w:rPr>
      </w:pPr>
    </w:p>
    <w:p>
      <w:pPr>
        <w:ind w:left="300" w:right="399" w:firstLine="360"/>
        <w:spacing w:after="0" w:line="282" w:lineRule="auto"/>
        <w:rPr>
          <w:sz w:val="20"/>
          <w:szCs w:val="20"/>
          <w:color w:val="auto"/>
        </w:rPr>
      </w:pPr>
      <w:r>
        <w:rPr>
          <w:rFonts w:ascii="Times New Roman" w:cs="Times New Roman" w:eastAsia="Times New Roman" w:hAnsi="Times New Roman"/>
          <w:sz w:val="18"/>
          <w:szCs w:val="18"/>
          <w:color w:val="auto"/>
        </w:rPr>
        <w:t>(a)(4) The information set forth in the section of the Offer to Purchase entitled “Certain Effects of the Offer” is incorporated herein by reference.</w:t>
      </w:r>
    </w:p>
    <w:p>
      <w:pPr>
        <w:spacing w:after="0" w:line="54" w:lineRule="exact"/>
        <w:rPr>
          <w:sz w:val="20"/>
          <w:szCs w:val="20"/>
          <w:color w:val="auto"/>
        </w:rPr>
      </w:pPr>
    </w:p>
    <w:p>
      <w:pPr>
        <w:ind w:left="300" w:right="979" w:firstLine="360"/>
        <w:spacing w:after="0" w:line="282" w:lineRule="auto"/>
        <w:rPr>
          <w:sz w:val="20"/>
          <w:szCs w:val="20"/>
          <w:color w:val="auto"/>
        </w:rPr>
      </w:pPr>
      <w:r>
        <w:rPr>
          <w:rFonts w:ascii="Times New Roman" w:cs="Times New Roman" w:eastAsia="Times New Roman" w:hAnsi="Times New Roman"/>
          <w:sz w:val="18"/>
          <w:szCs w:val="18"/>
          <w:color w:val="auto"/>
        </w:rPr>
        <w:t>(a)(5) The information set forth in the section of the Offer to Purchase entitled “Certain Legal Matters; Regulatory Approvals” is incorporated herein by reference.</w:t>
      </w:r>
    </w:p>
    <w:p>
      <w:pPr>
        <w:spacing w:after="0" w:line="54" w:lineRule="exact"/>
        <w:rPr>
          <w:sz w:val="20"/>
          <w:szCs w:val="20"/>
          <w:color w:val="auto"/>
        </w:rPr>
      </w:pPr>
    </w:p>
    <w:p>
      <w:pPr>
        <w:ind w:left="300" w:right="599" w:firstLine="352"/>
        <w:spacing w:after="0" w:line="282" w:lineRule="auto"/>
        <w:tabs>
          <w:tab w:leader="none" w:pos="90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set forth in the Offer to Purchase and the Letter of Transmittal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97155</wp:posOffset>
            </wp:positionV>
            <wp:extent cx="699516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39" w:right="1440" w:bottom="1440" w:gutter="0" w:footer="0" w:header="0"/>
        </w:sectPr>
      </w:pPr>
    </w:p>
    <w:bookmarkStart w:id="3" w:name="page4"/>
    <w:bookmarkEnd w:id="3"/>
    <w:p>
      <w:pPr>
        <w:ind w:left="300"/>
        <w:spacing w:after="0"/>
        <w:rPr>
          <w:sz w:val="20"/>
          <w:szCs w:val="20"/>
          <w:color w:val="auto"/>
        </w:rPr>
      </w:pPr>
      <w:r>
        <w:rPr>
          <w:rFonts w:ascii="Times New Roman" w:cs="Times New Roman" w:eastAsia="Times New Roman" w:hAnsi="Times New Roman"/>
          <w:sz w:val="18"/>
          <w:szCs w:val="18"/>
          <w:b w:val="1"/>
          <w:bCs w:val="1"/>
          <w:color w:val="auto"/>
        </w:rPr>
        <w:t xml:space="preserve">Item 12. </w:t>
      </w:r>
      <w:r>
        <w:rPr>
          <w:rFonts w:ascii="Times New Roman" w:cs="Times New Roman" w:eastAsia="Times New Roman" w:hAnsi="Times New Roman"/>
          <w:sz w:val="18"/>
          <w:szCs w:val="18"/>
          <w:b w:val="1"/>
          <w:bCs w:val="1"/>
          <w:i w:val="1"/>
          <w:iCs w:val="1"/>
          <w:color w:val="auto"/>
        </w:rPr>
        <w:t>Exhibits.</w:t>
      </w:r>
    </w:p>
    <w:p>
      <w:pPr>
        <w:spacing w:after="0" w:line="23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8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tcPr>
          <w:p>
            <w:pPr>
              <w:spacing w:after="0"/>
              <w:rPr>
                <w:sz w:val="16"/>
                <w:szCs w:val="16"/>
                <w:color w:val="auto"/>
              </w:rPr>
            </w:pPr>
          </w:p>
        </w:tc>
        <w:tc>
          <w:tcPr>
            <w:tcW w:w="7460" w:type="dxa"/>
            <w:vAlign w:val="bottom"/>
          </w:tcPr>
          <w:p>
            <w:pPr>
              <w:ind w:left="3300"/>
              <w:spacing w:after="0"/>
              <w:rPr>
                <w:sz w:val="20"/>
                <w:szCs w:val="20"/>
                <w:color w:val="auto"/>
              </w:rPr>
            </w:pPr>
            <w:r>
              <w:rPr>
                <w:rFonts w:ascii="Times New Roman" w:cs="Times New Roman" w:eastAsia="Times New Roman" w:hAnsi="Times New Roman"/>
                <w:sz w:val="14"/>
                <w:szCs w:val="14"/>
                <w:b w:val="1"/>
                <w:bCs w:val="1"/>
                <w:color w:val="auto"/>
              </w:rPr>
              <w:t>Exhibit Name</w:t>
            </w:r>
          </w:p>
        </w:tc>
      </w:tr>
      <w:tr>
        <w:trPr>
          <w:trHeight w:val="23"/>
        </w:trPr>
        <w:tc>
          <w:tcPr>
            <w:tcW w:w="4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460" w:type="dxa"/>
            <w:vAlign w:val="bottom"/>
            <w:tcBorders>
              <w:bottom w:val="single" w:sz="8" w:color="auto"/>
            </w:tcBorders>
          </w:tcPr>
          <w:p>
            <w:pPr>
              <w:spacing w:after="0"/>
              <w:rPr>
                <w:sz w:val="2"/>
                <w:szCs w:val="2"/>
                <w:color w:val="auto"/>
              </w:rPr>
            </w:pPr>
          </w:p>
        </w:tc>
      </w:tr>
      <w:tr>
        <w:trPr>
          <w:trHeight w:val="230"/>
        </w:trPr>
        <w:tc>
          <w:tcPr>
            <w:tcW w:w="660" w:type="dxa"/>
            <w:vAlign w:val="bottom"/>
            <w:tcBorders>
              <w:bottom w:val="single" w:sz="8" w:color="0000EE"/>
            </w:tcBorders>
            <w:gridSpan w:val="3"/>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6"/>
              </w:rPr>
              <w:t>(a)(1)(A)</w:t>
            </w: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46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Offer to Purchase, dated October 30, 2026.*</w:t>
            </w:r>
          </w:p>
        </w:tc>
      </w:tr>
      <w:tr>
        <w:trPr>
          <w:trHeight w:val="189"/>
        </w:trPr>
        <w:tc>
          <w:tcPr>
            <w:tcW w:w="86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color w:val="0000EE"/>
              </w:rPr>
              <w:t>(a)(1)(B)</w:t>
            </w:r>
          </w:p>
        </w:tc>
        <w:tc>
          <w:tcPr>
            <w:tcW w:w="100" w:type="dxa"/>
            <w:vAlign w:val="bottom"/>
          </w:tcPr>
          <w:p>
            <w:pPr>
              <w:spacing w:after="0"/>
              <w:rPr>
                <w:sz w:val="16"/>
                <w:szCs w:val="16"/>
                <w:color w:val="auto"/>
              </w:rPr>
            </w:pPr>
          </w:p>
        </w:tc>
        <w:tc>
          <w:tcPr>
            <w:tcW w:w="74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Form of Letter of Transmittal (including Internal Revenue Service Form W-9).*</w:t>
            </w:r>
          </w:p>
        </w:tc>
      </w:tr>
      <w:tr>
        <w:trPr>
          <w:trHeight w:val="34"/>
        </w:trPr>
        <w:tc>
          <w:tcPr>
            <w:tcW w:w="4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60" w:type="dxa"/>
            <w:vAlign w:val="bottom"/>
          </w:tcPr>
          <w:p>
            <w:pPr>
              <w:spacing w:after="0"/>
              <w:rPr>
                <w:sz w:val="2"/>
                <w:szCs w:val="2"/>
                <w:color w:val="auto"/>
              </w:rPr>
            </w:pPr>
          </w:p>
        </w:tc>
      </w:tr>
      <w:tr>
        <w:trPr>
          <w:trHeight w:val="189"/>
        </w:trPr>
        <w:tc>
          <w:tcPr>
            <w:tcW w:w="86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(a)(1)(C)</w:t>
            </w:r>
          </w:p>
        </w:tc>
        <w:tc>
          <w:tcPr>
            <w:tcW w:w="100" w:type="dxa"/>
            <w:vAlign w:val="bottom"/>
            <w:shd w:val="clear" w:color="auto" w:fill="CCEEFF"/>
          </w:tcPr>
          <w:p>
            <w:pPr>
              <w:spacing w:after="0"/>
              <w:rPr>
                <w:sz w:val="16"/>
                <w:szCs w:val="16"/>
                <w:color w:val="auto"/>
              </w:rPr>
            </w:pPr>
          </w:p>
        </w:tc>
        <w:tc>
          <w:tcPr>
            <w:tcW w:w="74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Form of Notice of Guaranteed Delivery.*</w:t>
            </w:r>
          </w:p>
        </w:tc>
      </w:tr>
      <w:tr>
        <w:trPr>
          <w:trHeight w:val="34"/>
        </w:trPr>
        <w:tc>
          <w:tcPr>
            <w:tcW w:w="4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7460" w:type="dxa"/>
            <w:vAlign w:val="bottom"/>
            <w:tcBorders>
              <w:top w:val="single" w:sz="8" w:color="CCEEFF"/>
            </w:tcBorders>
            <w:shd w:val="clear" w:color="auto" w:fill="CCEEFF"/>
          </w:tcPr>
          <w:p>
            <w:pPr>
              <w:spacing w:after="0"/>
              <w:rPr>
                <w:sz w:val="2"/>
                <w:szCs w:val="2"/>
                <w:color w:val="auto"/>
              </w:rPr>
            </w:pPr>
          </w:p>
        </w:tc>
      </w:tr>
      <w:tr>
        <w:trPr>
          <w:trHeight w:val="189"/>
        </w:trPr>
        <w:tc>
          <w:tcPr>
            <w:tcW w:w="86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color w:val="0000EE"/>
              </w:rPr>
              <w:t>(a)(1)(D)</w:t>
            </w:r>
          </w:p>
        </w:tc>
        <w:tc>
          <w:tcPr>
            <w:tcW w:w="100" w:type="dxa"/>
            <w:vAlign w:val="bottom"/>
          </w:tcPr>
          <w:p>
            <w:pPr>
              <w:spacing w:after="0"/>
              <w:rPr>
                <w:sz w:val="16"/>
                <w:szCs w:val="16"/>
                <w:color w:val="auto"/>
              </w:rPr>
            </w:pPr>
          </w:p>
        </w:tc>
        <w:tc>
          <w:tcPr>
            <w:tcW w:w="74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Form of Letter to Brokers, Dealers, Banks, Trust Companies and Other Nominees.*</w:t>
            </w:r>
          </w:p>
        </w:tc>
      </w:tr>
      <w:tr>
        <w:trPr>
          <w:trHeight w:val="34"/>
        </w:trPr>
        <w:tc>
          <w:tcPr>
            <w:tcW w:w="4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60" w:type="dxa"/>
            <w:vAlign w:val="bottom"/>
          </w:tcPr>
          <w:p>
            <w:pPr>
              <w:spacing w:after="0"/>
              <w:rPr>
                <w:sz w:val="2"/>
                <w:szCs w:val="2"/>
                <w:color w:val="auto"/>
              </w:rPr>
            </w:pPr>
          </w:p>
        </w:tc>
      </w:tr>
      <w:tr>
        <w:trPr>
          <w:trHeight w:val="223"/>
        </w:trPr>
        <w:tc>
          <w:tcPr>
            <w:tcW w:w="640" w:type="dxa"/>
            <w:vAlign w:val="bottom"/>
            <w:tcBorders>
              <w:bottom w:val="single" w:sz="8" w:color="0000EE"/>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6"/>
              </w:rPr>
              <w:t>(a)(1)(E)</w:t>
            </w:r>
          </w:p>
        </w:tc>
        <w:tc>
          <w:tcPr>
            <w:tcW w:w="220" w:type="dxa"/>
            <w:vAlign w:val="bottom"/>
            <w:tcBorders>
              <w:bottom w:val="single" w:sz="8" w:color="CCEEFF"/>
            </w:tcBorders>
            <w:gridSpan w:val="2"/>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460" w:type="dxa"/>
            <w:vAlign w:val="bottom"/>
            <w:tcBorders>
              <w:bottom w:val="single" w:sz="8" w:color="CCEEFF"/>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Form of Letter to Clients for use by Brokers, Dealers, Banks, Trust Companies and Other Nominees.*</w:t>
            </w:r>
          </w:p>
        </w:tc>
      </w:tr>
      <w:tr>
        <w:trPr>
          <w:trHeight w:val="189"/>
        </w:trPr>
        <w:tc>
          <w:tcPr>
            <w:tcW w:w="860" w:type="dxa"/>
            <w:vAlign w:val="bottom"/>
            <w:gridSpan w:val="4"/>
          </w:tcPr>
          <w:p>
            <w:pPr>
              <w:spacing w:after="0" w:line="189" w:lineRule="exact"/>
              <w:rPr>
                <w:rFonts w:ascii="Times New Roman" w:cs="Times New Roman" w:eastAsia="Times New Roman" w:hAnsi="Times New Roman"/>
                <w:sz w:val="18"/>
                <w:szCs w:val="18"/>
                <w:color w:val="0000EE"/>
              </w:rPr>
            </w:pPr>
            <w:hyperlink r:id="rId15">
              <w:r>
                <w:rPr>
                  <w:rFonts w:ascii="Times New Roman" w:cs="Times New Roman" w:eastAsia="Times New Roman" w:hAnsi="Times New Roman"/>
                  <w:sz w:val="18"/>
                  <w:szCs w:val="18"/>
                  <w:color w:val="0000EE"/>
                </w:rPr>
                <w:t>(a)(5)(A)</w:t>
              </w:r>
            </w:hyperlink>
          </w:p>
        </w:tc>
        <w:tc>
          <w:tcPr>
            <w:tcW w:w="100" w:type="dxa"/>
            <w:vAlign w:val="bottom"/>
          </w:tcPr>
          <w:p>
            <w:pPr>
              <w:spacing w:after="0"/>
              <w:rPr>
                <w:sz w:val="16"/>
                <w:szCs w:val="16"/>
                <w:color w:val="auto"/>
              </w:rPr>
            </w:pPr>
          </w:p>
        </w:tc>
        <w:tc>
          <w:tcPr>
            <w:tcW w:w="74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Joint Press Release, dated October 8, 2026, issued by Viatris and Pacira, incorporated herein by</w:t>
            </w:r>
          </w:p>
        </w:tc>
      </w:tr>
      <w:tr>
        <w:trPr>
          <w:trHeight w:val="243"/>
        </w:trPr>
        <w:tc>
          <w:tcPr>
            <w:tcW w:w="42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reference to Exhibit 99.1 to the Form 8-K filed by Viatris on October 8, 2026.</w:t>
            </w:r>
          </w:p>
        </w:tc>
      </w:tr>
      <w:tr>
        <w:trPr>
          <w:trHeight w:val="196"/>
        </w:trPr>
        <w:tc>
          <w:tcPr>
            <w:tcW w:w="860" w:type="dxa"/>
            <w:vAlign w:val="bottom"/>
            <w:gridSpan w:val="4"/>
            <w:shd w:val="clear" w:color="auto" w:fill="CCEEFF"/>
          </w:tcPr>
          <w:p>
            <w:pPr>
              <w:spacing w:after="0" w:line="195" w:lineRule="exact"/>
              <w:rPr>
                <w:rFonts w:ascii="Times New Roman" w:cs="Times New Roman" w:eastAsia="Times New Roman" w:hAnsi="Times New Roman"/>
                <w:sz w:val="18"/>
                <w:szCs w:val="18"/>
                <w:color w:val="0000EE"/>
              </w:rPr>
            </w:pPr>
            <w:hyperlink r:id="rId16">
              <w:r>
                <w:rPr>
                  <w:rFonts w:ascii="Times New Roman" w:cs="Times New Roman" w:eastAsia="Times New Roman" w:hAnsi="Times New Roman"/>
                  <w:sz w:val="18"/>
                  <w:szCs w:val="18"/>
                  <w:color w:val="0000EE"/>
                </w:rPr>
                <w:t>(a)(5)(B)</w:t>
              </w:r>
            </w:hyperlink>
          </w:p>
        </w:tc>
        <w:tc>
          <w:tcPr>
            <w:tcW w:w="100" w:type="dxa"/>
            <w:vAlign w:val="bottom"/>
            <w:shd w:val="clear" w:color="auto" w:fill="CCEEFF"/>
          </w:tcPr>
          <w:p>
            <w:pPr>
              <w:spacing w:after="0"/>
              <w:rPr>
                <w:sz w:val="17"/>
                <w:szCs w:val="17"/>
                <w:color w:val="auto"/>
              </w:rPr>
            </w:pPr>
          </w:p>
        </w:tc>
        <w:tc>
          <w:tcPr>
            <w:tcW w:w="746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Investor Presentation, dated October 8, 2026, prepared by Viatris, incorporated herein by reference to</w:t>
            </w:r>
          </w:p>
        </w:tc>
      </w:tr>
      <w:tr>
        <w:trPr>
          <w:trHeight w:val="250"/>
        </w:trPr>
        <w:tc>
          <w:tcPr>
            <w:tcW w:w="420" w:type="dxa"/>
            <w:vAlign w:val="bottom"/>
            <w:tcBorders>
              <w:top w:val="single" w:sz="8" w:color="0000EE"/>
            </w:tcBorders>
            <w:shd w:val="clear" w:color="auto" w:fill="CCEEFF"/>
          </w:tcPr>
          <w:p>
            <w:pPr>
              <w:spacing w:after="0"/>
              <w:rPr>
                <w:sz w:val="21"/>
                <w:szCs w:val="21"/>
                <w:color w:val="auto"/>
              </w:rPr>
            </w:pPr>
          </w:p>
        </w:tc>
        <w:tc>
          <w:tcPr>
            <w:tcW w:w="220" w:type="dxa"/>
            <w:vAlign w:val="bottom"/>
            <w:tcBorders>
              <w:top w:val="single" w:sz="8" w:color="0000EE"/>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7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Exhibit 99.2 to the Form 8-K filed by Viatris on October 8, 2026.</w:t>
            </w:r>
          </w:p>
        </w:tc>
      </w:tr>
      <w:tr>
        <w:trPr>
          <w:trHeight w:val="189"/>
        </w:trPr>
        <w:tc>
          <w:tcPr>
            <w:tcW w:w="860" w:type="dxa"/>
            <w:vAlign w:val="bottom"/>
            <w:gridSpan w:val="4"/>
          </w:tcPr>
          <w:p>
            <w:pPr>
              <w:spacing w:after="0" w:line="189" w:lineRule="exact"/>
              <w:rPr>
                <w:rFonts w:ascii="Times New Roman" w:cs="Times New Roman" w:eastAsia="Times New Roman" w:hAnsi="Times New Roman"/>
                <w:sz w:val="18"/>
                <w:szCs w:val="18"/>
                <w:color w:val="0000EE"/>
              </w:rPr>
            </w:pPr>
            <w:hyperlink r:id="rId17">
              <w:r>
                <w:rPr>
                  <w:rFonts w:ascii="Times New Roman" w:cs="Times New Roman" w:eastAsia="Times New Roman" w:hAnsi="Times New Roman"/>
                  <w:sz w:val="18"/>
                  <w:szCs w:val="18"/>
                  <w:color w:val="0000EE"/>
                </w:rPr>
                <w:t>(a)(5)(C)</w:t>
              </w:r>
            </w:hyperlink>
          </w:p>
        </w:tc>
        <w:tc>
          <w:tcPr>
            <w:tcW w:w="100" w:type="dxa"/>
            <w:vAlign w:val="bottom"/>
          </w:tcPr>
          <w:p>
            <w:pPr>
              <w:spacing w:after="0"/>
              <w:rPr>
                <w:sz w:val="16"/>
                <w:szCs w:val="16"/>
                <w:color w:val="auto"/>
              </w:rPr>
            </w:pPr>
          </w:p>
        </w:tc>
        <w:tc>
          <w:tcPr>
            <w:tcW w:w="74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Social media posts made on October 8, 2026, incorporated herein by reference to Exhibit 99.1 to the</w:t>
            </w:r>
          </w:p>
        </w:tc>
      </w:tr>
      <w:tr>
        <w:trPr>
          <w:trHeight w:val="243"/>
        </w:trPr>
        <w:tc>
          <w:tcPr>
            <w:tcW w:w="42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Schedule TO-C filed by Viatris on October 8, 2026.</w:t>
            </w:r>
          </w:p>
        </w:tc>
      </w:tr>
      <w:tr>
        <w:trPr>
          <w:trHeight w:val="230"/>
        </w:trPr>
        <w:tc>
          <w:tcPr>
            <w:tcW w:w="660" w:type="dxa"/>
            <w:vAlign w:val="bottom"/>
            <w:tcBorders>
              <w:bottom w:val="single" w:sz="8" w:color="0000EE"/>
            </w:tcBorders>
            <w:gridSpan w:val="3"/>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EE"/>
                <w:w w:val="96"/>
              </w:rPr>
              <w:t>(a)(5)(D)</w:t>
            </w: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460" w:type="dxa"/>
            <w:vAlign w:val="bottom"/>
            <w:tcBorders>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Press Release, dated October 30, 2026, issued by Viatris.*</w:t>
            </w:r>
          </w:p>
        </w:tc>
      </w:tr>
      <w:tr>
        <w:trPr>
          <w:trHeight w:val="189"/>
        </w:trPr>
        <w:tc>
          <w:tcPr>
            <w:tcW w:w="860" w:type="dxa"/>
            <w:vAlign w:val="bottom"/>
            <w:gridSpan w:val="4"/>
          </w:tcPr>
          <w:p>
            <w:pPr>
              <w:spacing w:after="0" w:line="189" w:lineRule="exact"/>
              <w:rPr>
                <w:rFonts w:ascii="Times New Roman" w:cs="Times New Roman" w:eastAsia="Times New Roman" w:hAnsi="Times New Roman"/>
                <w:sz w:val="18"/>
                <w:szCs w:val="18"/>
                <w:color w:val="0000EE"/>
              </w:rPr>
            </w:pPr>
            <w:hyperlink r:id="rId18">
              <w:r>
                <w:rPr>
                  <w:rFonts w:ascii="Times New Roman" w:cs="Times New Roman" w:eastAsia="Times New Roman" w:hAnsi="Times New Roman"/>
                  <w:sz w:val="18"/>
                  <w:szCs w:val="18"/>
                  <w:color w:val="0000EE"/>
                </w:rPr>
                <w:t>(d)(1)</w:t>
              </w:r>
            </w:hyperlink>
          </w:p>
        </w:tc>
        <w:tc>
          <w:tcPr>
            <w:tcW w:w="100" w:type="dxa"/>
            <w:vAlign w:val="bottom"/>
          </w:tcPr>
          <w:p>
            <w:pPr>
              <w:spacing w:after="0"/>
              <w:rPr>
                <w:sz w:val="16"/>
                <w:szCs w:val="16"/>
                <w:color w:val="auto"/>
              </w:rPr>
            </w:pPr>
          </w:p>
        </w:tc>
        <w:tc>
          <w:tcPr>
            <w:tcW w:w="74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Agreement and Plan of Merger, dated October 8, 2026, by and among Viatris, Purchaser and Pacira,</w:t>
            </w:r>
          </w:p>
        </w:tc>
      </w:tr>
      <w:tr>
        <w:trPr>
          <w:trHeight w:val="243"/>
        </w:trPr>
        <w:tc>
          <w:tcPr>
            <w:tcW w:w="420" w:type="dxa"/>
            <w:vAlign w:val="bottom"/>
            <w:tcBorders>
              <w:top w:val="single" w:sz="8" w:color="0000EE"/>
            </w:tcBorders>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incorporated herein by reference to Exhibit 2.1 to the Form 8-K filed by Viatris on October 8, 2026.</w:t>
            </w:r>
          </w:p>
        </w:tc>
      </w:tr>
      <w:tr>
        <w:trPr>
          <w:trHeight w:val="196"/>
        </w:trPr>
        <w:tc>
          <w:tcPr>
            <w:tcW w:w="860" w:type="dxa"/>
            <w:vAlign w:val="bottom"/>
            <w:gridSpan w:val="4"/>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EE"/>
              </w:rPr>
              <w:t>(d)(2)</w:t>
            </w:r>
          </w:p>
        </w:tc>
        <w:tc>
          <w:tcPr>
            <w:tcW w:w="100" w:type="dxa"/>
            <w:vAlign w:val="bottom"/>
            <w:shd w:val="clear" w:color="auto" w:fill="CCEEFF"/>
          </w:tcPr>
          <w:p>
            <w:pPr>
              <w:spacing w:after="0"/>
              <w:rPr>
                <w:sz w:val="17"/>
                <w:szCs w:val="17"/>
                <w:color w:val="auto"/>
              </w:rPr>
            </w:pPr>
          </w:p>
        </w:tc>
        <w:tc>
          <w:tcPr>
            <w:tcW w:w="746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Confidentiality Agreement, dated August 10, 2026, by and between Pacira and Viatris.*</w:t>
            </w:r>
          </w:p>
        </w:tc>
      </w:tr>
      <w:tr>
        <w:trPr>
          <w:trHeight w:val="34"/>
        </w:trPr>
        <w:tc>
          <w:tcPr>
            <w:tcW w:w="4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7460" w:type="dxa"/>
            <w:vAlign w:val="bottom"/>
            <w:tcBorders>
              <w:top w:val="single" w:sz="8" w:color="CCEEFF"/>
            </w:tcBorders>
            <w:shd w:val="clear" w:color="auto" w:fill="CCEEFF"/>
          </w:tcPr>
          <w:p>
            <w:pPr>
              <w:spacing w:after="0"/>
              <w:rPr>
                <w:sz w:val="2"/>
                <w:szCs w:val="2"/>
                <w:color w:val="auto"/>
              </w:rPr>
            </w:pPr>
          </w:p>
        </w:tc>
      </w:tr>
    </w:tbl>
    <w:p>
      <w:pPr>
        <w:ind w:left="1260" w:hanging="968"/>
        <w:spacing w:after="0"/>
        <w:tabs>
          <w:tab w:leader="none" w:pos="12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Not applicable.</w:t>
      </w:r>
    </w:p>
    <w:p>
      <w:pPr>
        <w:spacing w:after="0" w:line="29" w:lineRule="exact"/>
        <w:rPr>
          <w:rFonts w:ascii="Times New Roman" w:cs="Times New Roman" w:eastAsia="Times New Roman" w:hAnsi="Times New Roman"/>
          <w:sz w:val="18"/>
          <w:szCs w:val="18"/>
          <w:color w:val="auto"/>
        </w:rPr>
      </w:pPr>
    </w:p>
    <w:p>
      <w:pPr>
        <w:ind w:left="1260" w:hanging="968"/>
        <w:spacing w:after="0"/>
        <w:tabs>
          <w:tab w:leader="none" w:pos="12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-126365</wp:posOffset>
            </wp:positionV>
            <wp:extent cx="5349240" cy="1543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5349240" cy="154305"/>
                    </a:xfrm>
                    <a:prstGeom prst="rect">
                      <a:avLst/>
                    </a:prstGeom>
                    <a:noFill/>
                  </pic:spPr>
                </pic:pic>
              </a:graphicData>
            </a:graphic>
          </wp:anchor>
        </w:drawing>
      </w:r>
    </w:p>
    <w:p>
      <w:pPr>
        <w:spacing w:after="0" w:line="18" w:lineRule="exact"/>
        <w:rPr>
          <w:sz w:val="20"/>
          <w:szCs w:val="20"/>
          <w:color w:val="auto"/>
        </w:rPr>
      </w:pPr>
    </w:p>
    <w:p>
      <w:pPr>
        <w:ind w:left="1260" w:hanging="968"/>
        <w:spacing w:after="0"/>
        <w:tabs>
          <w:tab w:leader="none" w:pos="1260" w:val="left"/>
        </w:tabs>
        <w:numPr>
          <w:ilvl w:val="0"/>
          <w:numId w:val="14"/>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Filing Fee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205740</wp:posOffset>
            </wp:positionV>
            <wp:extent cx="8229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49" w:lineRule="exact"/>
        <w:rPr>
          <w:sz w:val="20"/>
          <w:szCs w:val="20"/>
          <w:color w:val="auto"/>
        </w:rPr>
      </w:pPr>
    </w:p>
    <w:p>
      <w:pPr>
        <w:ind w:left="640" w:hanging="348"/>
        <w:spacing w:after="0"/>
        <w:tabs>
          <w:tab w:leader="none" w:pos="6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herewith.</w:t>
      </w:r>
    </w:p>
    <w:p>
      <w:pPr>
        <w:spacing w:after="0" w:line="2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 xml:space="preserve">Item 13. </w:t>
      </w:r>
      <w:r>
        <w:rPr>
          <w:rFonts w:ascii="Times New Roman" w:cs="Times New Roman" w:eastAsia="Times New Roman" w:hAnsi="Times New Roman"/>
          <w:sz w:val="18"/>
          <w:szCs w:val="18"/>
          <w:b w:val="1"/>
          <w:bCs w:val="1"/>
          <w:i w:val="1"/>
          <w:iCs w:val="1"/>
          <w:color w:val="auto"/>
        </w:rPr>
        <w:t>Information Required by Schedule 13E-3.</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39" w:right="1440"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left="300" w:right="699" w:firstLine="360"/>
        <w:spacing w:after="0" w:line="282" w:lineRule="auto"/>
        <w:rPr>
          <w:sz w:val="20"/>
          <w:szCs w:val="20"/>
          <w:color w:val="auto"/>
        </w:rPr>
      </w:pPr>
      <w:r>
        <w:rPr>
          <w:rFonts w:ascii="Times New Roman" w:cs="Times New Roman" w:eastAsia="Times New Roman" w:hAnsi="Times New Roman"/>
          <w:sz w:val="18"/>
          <w:szCs w:val="18"/>
          <w:color w:val="auto"/>
        </w:rPr>
        <w:t>After due inquiry and to the best of my knowledge and belief, I certify that the information set forth in this statement is true, complete and correct.</w:t>
      </w:r>
    </w:p>
    <w:p>
      <w:pPr>
        <w:spacing w:after="0" w:line="198"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VIATRIS INC.</w:t>
      </w:r>
    </w:p>
    <w:p>
      <w:pPr>
        <w:spacing w:after="0" w:line="40"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color w:val="auto"/>
        </w:rPr>
        <w:t>By</w:t>
      </w:r>
    </w:p>
    <w:p>
      <w:pPr>
        <w:spacing w:after="0" w:line="36"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/s/ Paul Campbell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2765425</wp:posOffset>
            </wp:positionH>
            <wp:positionV relativeFrom="paragraph">
              <wp:posOffset>34290</wp:posOffset>
            </wp:positionV>
            <wp:extent cx="27686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ectPr>
          <w:pgSz w:w="11900" w:h="16838" w:orient="portrait"/>
          <w:cols w:equalWidth="0" w:num="1">
            <w:col w:w="9019"/>
          </w:cols>
          <w:pgMar w:left="1440" w:top="239" w:right="1440" w:bottom="1440" w:gutter="0" w:footer="0" w:header="0"/>
        </w:sectPr>
      </w:pPr>
    </w:p>
    <w:p>
      <w:pPr>
        <w:spacing w:after="0" w:line="77"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Paul Campbell</w:t>
      </w:r>
    </w:p>
    <w:p>
      <w:pPr>
        <w:spacing w:after="0" w:line="47" w:lineRule="exact"/>
        <w:rPr>
          <w:sz w:val="20"/>
          <w:szCs w:val="20"/>
          <w:color w:val="auto"/>
        </w:rPr>
      </w:pPr>
    </w:p>
    <w:p>
      <w:pPr>
        <w:sectPr>
          <w:pgSz w:w="11900" w:h="16838" w:orient="portrait"/>
          <w:cols w:equalWidth="0" w:num="2">
            <w:col w:w="4840" w:space="220"/>
            <w:col w:w="3959"/>
          </w:cols>
          <w:pgMar w:left="1440" w:top="239" w:right="1440" w:bottom="1440" w:gutter="0" w:footer="0" w:header="0"/>
          <w:type w:val="continuous"/>
        </w:sectPr>
      </w:pPr>
    </w:p>
    <w:p>
      <w:pPr>
        <w:ind w:left="4360"/>
        <w:spacing w:after="0"/>
        <w:rPr>
          <w:sz w:val="20"/>
          <w:szCs w:val="20"/>
          <w:color w:val="auto"/>
        </w:rPr>
      </w:pPr>
      <w:r>
        <w:rPr>
          <w:rFonts w:ascii="Times New Roman" w:cs="Times New Roman" w:eastAsia="Times New Roman" w:hAnsi="Times New Roman"/>
          <w:sz w:val="17"/>
          <w:szCs w:val="17"/>
          <w:color w:val="auto"/>
        </w:rPr>
        <w:t>Title:</w:t>
      </w:r>
    </w:p>
    <w:p>
      <w:pPr>
        <w:spacing w:after="0" w:line="20" w:lineRule="exact"/>
        <w:rPr>
          <w:sz w:val="20"/>
          <w:szCs w:val="20"/>
          <w:color w:val="auto"/>
        </w:rPr>
      </w:pPr>
      <w:r>
        <w:rPr>
          <w:sz w:val="20"/>
          <w:szCs w:val="20"/>
          <w:color w:val="auto"/>
        </w:rPr>
        <w:br w:type="column"/>
      </w:r>
    </w:p>
    <w:p>
      <w:pPr>
        <w:ind w:right="339"/>
        <w:spacing w:after="0" w:line="266" w:lineRule="auto"/>
        <w:rPr>
          <w:sz w:val="20"/>
          <w:szCs w:val="20"/>
          <w:color w:val="auto"/>
        </w:rPr>
      </w:pPr>
      <w:r>
        <w:rPr>
          <w:rFonts w:ascii="Times New Roman" w:cs="Times New Roman" w:eastAsia="Times New Roman" w:hAnsi="Times New Roman"/>
          <w:sz w:val="18"/>
          <w:szCs w:val="18"/>
          <w:color w:val="auto"/>
        </w:rPr>
        <w:t>Interim Chief Financial Officer, Chief Accounting Officer &amp; Corporate Controller</w:t>
      </w:r>
    </w:p>
    <w:p>
      <w:pPr>
        <w:spacing w:after="0" w:line="1" w:lineRule="exact"/>
        <w:rPr>
          <w:sz w:val="20"/>
          <w:szCs w:val="20"/>
          <w:color w:val="auto"/>
        </w:rPr>
      </w:pPr>
    </w:p>
    <w:p>
      <w:pPr>
        <w:sectPr>
          <w:pgSz w:w="11900" w:h="16838" w:orient="portrait"/>
          <w:cols w:equalWidth="0" w:num="2">
            <w:col w:w="4740" w:space="320"/>
            <w:col w:w="3959"/>
          </w:cols>
          <w:pgMar w:left="1440" w:top="239" w:right="1440" w:bottom="1440" w:gutter="0" w:footer="0" w:header="0"/>
          <w:type w:val="continuous"/>
        </w:sectPr>
      </w:pPr>
    </w:p>
    <w:p>
      <w:pPr>
        <w:ind w:left="4360"/>
        <w:spacing w:after="0"/>
        <w:rPr>
          <w:sz w:val="20"/>
          <w:szCs w:val="20"/>
          <w:color w:val="auto"/>
        </w:rPr>
      </w:pPr>
      <w:r>
        <w:rPr>
          <w:rFonts w:ascii="Times New Roman" w:cs="Times New Roman" w:eastAsia="Times New Roman" w:hAnsi="Times New Roman"/>
          <w:sz w:val="17"/>
          <w:szCs w:val="17"/>
          <w:color w:val="auto"/>
        </w:rPr>
        <w:t>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October 30, 2026</w:t>
      </w:r>
    </w:p>
    <w:p>
      <w:pPr>
        <w:spacing w:after="0" w:line="200" w:lineRule="exact"/>
        <w:rPr>
          <w:sz w:val="20"/>
          <w:szCs w:val="20"/>
          <w:color w:val="auto"/>
        </w:rPr>
      </w:pPr>
    </w:p>
    <w:p>
      <w:pPr>
        <w:sectPr>
          <w:pgSz w:w="11900" w:h="16838" w:orient="portrait"/>
          <w:cols w:equalWidth="0" w:num="2">
            <w:col w:w="4740" w:space="320"/>
            <w:col w:w="3959"/>
          </w:cols>
          <w:pgMar w:left="1440" w:top="239" w:right="1440" w:bottom="1440" w:gutter="0" w:footer="0" w:header="0"/>
          <w:type w:val="continuous"/>
        </w:sectPr>
      </w:pPr>
    </w:p>
    <w:p>
      <w:pPr>
        <w:spacing w:after="0" w:line="75"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PEACH PURCHASER SUB INC.</w:t>
      </w:r>
    </w:p>
    <w:p>
      <w:pPr>
        <w:spacing w:after="0" w:line="40"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color w:val="auto"/>
        </w:rPr>
        <w:t>By</w:t>
      </w:r>
    </w:p>
    <w:p>
      <w:pPr>
        <w:spacing w:after="0" w:line="36"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/s/ Michael Rainerman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2765425</wp:posOffset>
            </wp:positionH>
            <wp:positionV relativeFrom="paragraph">
              <wp:posOffset>34290</wp:posOffset>
            </wp:positionV>
            <wp:extent cx="27686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ectPr>
          <w:pgSz w:w="11900" w:h="16838" w:orient="portrait"/>
          <w:cols w:equalWidth="0" w:num="1">
            <w:col w:w="9019"/>
          </w:cols>
          <w:pgMar w:left="1440" w:top="239" w:right="1440" w:bottom="1440" w:gutter="0" w:footer="0" w:header="0"/>
          <w:type w:val="continuous"/>
        </w:sectPr>
      </w:pPr>
    </w:p>
    <w:p>
      <w:pPr>
        <w:spacing w:after="0" w:line="77"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Name:</w:t>
      </w:r>
    </w:p>
    <w:p>
      <w:pPr>
        <w:spacing w:after="0" w:line="36"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Title:</w:t>
      </w:r>
    </w:p>
    <w:p>
      <w:pPr>
        <w:spacing w:after="0" w:line="36"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Michael Rainerman</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30, 2026</w:t>
      </w:r>
    </w:p>
    <w:p>
      <w:pPr>
        <w:spacing w:after="0" w:line="200" w:lineRule="exact"/>
        <w:rPr>
          <w:sz w:val="20"/>
          <w:szCs w:val="20"/>
          <w:color w:val="auto"/>
        </w:rPr>
      </w:pPr>
    </w:p>
    <w:p>
      <w:pPr>
        <w:sectPr>
          <w:pgSz w:w="11900" w:h="16838" w:orient="portrait"/>
          <w:cols w:equalWidth="0" w:num="2">
            <w:col w:w="4840" w:space="220"/>
            <w:col w:w="3959"/>
          </w:cols>
          <w:pgMar w:left="1440" w:top="239" w:right="1440" w:bottom="1440" w:gutter="0" w:footer="0" w:header="0"/>
          <w:type w:val="continuous"/>
        </w:sectPr>
      </w:pP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Schedule TO-T</w:t>
      </w:r>
      <w:r>
        <w:rPr>
          <w:rFonts w:ascii="Times New Roman" w:cs="Times New Roman" w:eastAsia="Times New Roman" w:hAnsi="Times New Roman"/>
          <w:sz w:val="17"/>
          <w:szCs w:val="17"/>
          <w:color w:val="auto"/>
        </w:rPr>
        <w:t>]</w:t>
      </w:r>
    </w:p>
    <w:p>
      <w:pPr>
        <w:sectPr>
          <w:pgSz w:w="11900" w:h="16838" w:orient="portrait"/>
          <w:cols w:equalWidth="0" w:num="1">
            <w:col w:w="9019"/>
          </w:cols>
          <w:pgMar w:left="1440" w:top="239" w:right="1440" w:bottom="1440" w:gutter="0" w:footer="0" w:header="0"/>
          <w:type w:val="continuous"/>
        </w:sectPr>
      </w:pPr>
    </w:p>
    <w:bookmarkStart w:id="5" w:name="page6"/>
    <w:bookmarkEnd w:id="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18"/>
          <w:szCs w:val="18"/>
          <w:b w:val="1"/>
          <w:bCs w:val="1"/>
          <w:color w:val="auto"/>
        </w:rPr>
        <w:t>Exhibit (a)(1)(A)</w:t>
      </w:r>
    </w:p>
    <w:p>
      <w:pPr>
        <w:spacing w:after="0" w:line="2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Offer to Purchase</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All Outstanding Shares of Common Stock</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Pacira BioSciences, Inc.</w:t>
      </w:r>
    </w:p>
    <w:p>
      <w:pPr>
        <w:spacing w:after="0" w:line="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at</w:t>
      </w:r>
    </w:p>
    <w:p>
      <w:pPr>
        <w:spacing w:after="0" w:line="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$36.50 per share, net in cash,</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by</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Peach Purchaser Sub Inc.</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 wholly owned subsidiary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Viatris Inc.</w:t>
      </w: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OFFER AND WITHDRAWAL RIGHTS WILL EXPIRE AT THE END OF THE DAY,</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EASTERN TIME, ON NOVEMBER 16, 2026 (ONE MINUTE AFTER 11:59 P.M., EASTERN TIME, ON</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NOVEMBER 16,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UNLESS THE OFFER IS EXTENDED OR EARLIER TERMINATED.</w:t>
      </w:r>
    </w:p>
    <w:p>
      <w:pPr>
        <w:spacing w:after="0" w:line="99" w:lineRule="exact"/>
        <w:rPr>
          <w:sz w:val="20"/>
          <w:szCs w:val="20"/>
          <w:color w:val="auto"/>
        </w:rPr>
      </w:pPr>
    </w:p>
    <w:p>
      <w:pPr>
        <w:ind w:left="300" w:right="359" w:firstLine="360"/>
        <w:spacing w:after="0" w:line="254" w:lineRule="auto"/>
        <w:rPr>
          <w:sz w:val="20"/>
          <w:szCs w:val="20"/>
          <w:color w:val="auto"/>
        </w:rPr>
      </w:pPr>
      <w:r>
        <w:rPr>
          <w:rFonts w:ascii="Times New Roman" w:cs="Times New Roman" w:eastAsia="Times New Roman" w:hAnsi="Times New Roman"/>
          <w:sz w:val="18"/>
          <w:szCs w:val="18"/>
          <w:color w:val="auto"/>
        </w:rPr>
        <w:t>Peach Purchaser Sub Inc., a Delaware corporation (“Purchaser”) and a wholly owned subsidiary of Viatris Inc., a Delaware corporation (“Viatris”), is offering to purchase all of the outstanding shares of common stock, par value $0.001 per share (the “Shares”), of Pacira BioSciences, Inc., a Delaware corporation (“Pacira”), at a purchase price of $36.50 per Share, to the seller thereof in cash, net of applicable withholding taxes and without interest (such amount, or any higher amount per Share paid pursuant to the Offer, the “Offer Price”), upon the terms and subject to the conditions set forth in this Offer to Purchase (this “Offer to Purchase”) and in the related Letter of Transmittal (the “Letter of Transmittal” which, together with this Offer to Purchase and other related materials, as each may be amended or supplemented from time to time, collectively constitute the “Offer”).</w:t>
      </w:r>
    </w:p>
    <w:p>
      <w:pPr>
        <w:spacing w:after="0" w:line="84"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The Offer is being made pursuant to the Agreement and Plan of Merger, dated October 8, 2026 (as it may be amended from time to time, the “Merger Agreement”), by and among Viatris, Purchaser and Pacira. The Merger Agreement provides, among other things, that as soon as practicable following the consummation of the Offer, on the terms and conditions set forth in the Merger Agreement and in accordance with Section 251(h) of the General Corporation Law of the State of Delaware, as amended (the “DGCL”), without a vote on the adoption of the Merger Agreement by Pacira stockholders, Purchaser will be merged with and into Pacira (the “Merger”), with Pacira continuing as the surviving corporation (which we refer to as the “Surviving Corporation”) in the Merger and thereby becoming a wholly owned subsidiary of Viatris. Upon the terms and subject to the conditions set forth in the Merger Agreement and in accordance with Section 251(h) of the DGCL, the Merger shall become effective upon the date and time of the filing of a certificate of merger with the Secretary of State of the State of Delaware or such later date and time as is agreed upon in writing by Viatris, Purchaser and Pacira and specified in the certificate of merger (such date and time, the “Effective Time”).</w:t>
      </w:r>
    </w:p>
    <w:p>
      <w:pPr>
        <w:spacing w:after="0" w:line="82" w:lineRule="exact"/>
        <w:rPr>
          <w:sz w:val="20"/>
          <w:szCs w:val="20"/>
          <w:color w:val="auto"/>
        </w:rPr>
      </w:pPr>
    </w:p>
    <w:p>
      <w:pPr>
        <w:ind w:left="300" w:right="359" w:firstLine="360"/>
        <w:spacing w:after="0" w:line="253" w:lineRule="auto"/>
        <w:rPr>
          <w:sz w:val="20"/>
          <w:szCs w:val="20"/>
          <w:color w:val="auto"/>
        </w:rPr>
      </w:pPr>
      <w:r>
        <w:rPr>
          <w:rFonts w:ascii="Times New Roman" w:cs="Times New Roman" w:eastAsia="Times New Roman" w:hAnsi="Times New Roman"/>
          <w:sz w:val="18"/>
          <w:szCs w:val="18"/>
          <w:color w:val="auto"/>
        </w:rPr>
        <w:t>At the Effective Time, each Share issued and outstanding immediately prior to the Effective Time (other than Shares held (i) by Pacira or any of its subsidiaries (including in Pacira’s treasury), (ii) by Viatris, Purchaser or any other wholly owned direct or indirect subsidiary of Viatris, which Shares will be canceled and will cease to exist, and no consideration will be delivered in exchange therefor, or (iii) by Pacira stockholders who are entitled to demand appraisal rights under, and have properly exercised and perfected their respective demands for appraisal of such Shares in the time and manner provided in, Section 262 of the DGCL and, as of the Effective Time, have neither effectively withdrawn nor lost their rights to such appraisal and payment under the DGCL) will be converted into the right to receive the Offer Price, upon the terms and conditions set forth in the Merger Agreement. Under no circumstances will interest be paid on the purchase price for Shares, regardless of any extension of the Offer or any delay in making payment for Shares. As a result of the Merger, Pacira will cease to be a publicly traded company and will become a wholly owned subsidiary of Viatris.</w:t>
      </w:r>
    </w:p>
    <w:p>
      <w:pPr>
        <w:spacing w:after="0" w:line="84" w:lineRule="exact"/>
        <w:rPr>
          <w:sz w:val="20"/>
          <w:szCs w:val="20"/>
          <w:color w:val="auto"/>
        </w:rPr>
      </w:pPr>
    </w:p>
    <w:p>
      <w:pPr>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The obligation of Purchaser to accept for payment and pay for Shares validly tendered (and not validly withdrawn) pursuant to the Offer is subject to the satisfaction or waiver (to the extent permitted by applicable law) of the conditions set forth in the Merger Agreement (collectively, the “Offer Conditions”), including: (i) that the number of Shares validly tendered (and not properly withdrawn) prior to the time that the Offer expires (but excluding Shares tendered pursuant to guaranteed delivery procedures that have not yet been “received,” as defined by Section 251(h)(6)(f) of the DGCL, by the “depository,” as defined in Section 251(h)(6)(c) of the DGCL), together with the Shares then owned by Purchaser and its affiliates, represents at least one Share more than 50% of the then issued and outstanding Shares (the “Minimum Condition”); (ii) the accuracy of the representations and warranties of Pacira contained in the Merger Agreement at and as of the Offer Acceptance Time (as defined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105410</wp:posOffset>
            </wp:positionV>
            <wp:extent cx="699516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6" w:name="page7"/>
    <w:bookmarkEnd w:id="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39"/>
        <w:spacing w:after="0" w:line="268" w:lineRule="auto"/>
        <w:rPr>
          <w:sz w:val="20"/>
          <w:szCs w:val="20"/>
          <w:color w:val="auto"/>
        </w:rPr>
      </w:pPr>
      <w:r>
        <w:rPr>
          <w:rFonts w:ascii="Times New Roman" w:cs="Times New Roman" w:eastAsia="Times New Roman" w:hAnsi="Times New Roman"/>
          <w:sz w:val="17"/>
          <w:szCs w:val="17"/>
          <w:color w:val="auto"/>
        </w:rPr>
        <w:t>subject to varying materiality thresholds specified therein, including that (A) specified representations regarding capitalization must be true and correct in all respects except for any de minimis inaccuracies, (B) specified representations regarding corporate organization, organizational documents, authority, capitalization (other than the capitalization representations referred to in clause (A) above), merger approval and brokers must be true and correct in all material respects, (C) the representation regarding the absence of a Material Adverse Effect (as defined below) since December 31, 2025 through the date of the Merger Agreement must be true and correct in all respects and</w:t>
      </w:r>
    </w:p>
    <w:p>
      <w:pPr>
        <w:spacing w:after="0" w:line="5" w:lineRule="exact"/>
        <w:rPr>
          <w:sz w:val="20"/>
          <w:szCs w:val="20"/>
          <w:color w:val="auto"/>
        </w:rPr>
      </w:pPr>
    </w:p>
    <w:p>
      <w:pPr>
        <w:ind w:left="300" w:right="299" w:hanging="8"/>
        <w:spacing w:after="0" w:line="250" w:lineRule="auto"/>
        <w:tabs>
          <w:tab w:leader="none" w:pos="5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representations and warranties must be true and correct, except where the failure to be so accurate has not had, and would not reasonably be expected to have, individually or in the aggregate, a Material Adverse Effect (collectively, the “Representations Condition”); (iii) the compliance and performance of Pacira in all material respects with all of its covenants and agreements required to be complied with or performed by it at or prior to the Offer Acceptance Time under the Merger Agreement (the “Covenants Condition”); (iv) the absence, since the date of the Merger Agreement, of any Material Adverse Effect that is continuing as of the Offer Acceptance Time (the “MAE Condition”); (v) the expiration or termination of the waiting period (or any extension thereof) applicable to the Offer under the Hart-Scott-Rodino Antitrust Improvements Act of 1976, as amended (the “HSR Act”), and the expiration of any timing agreement with any governmental body applicable to the Offer or the Merger (or such timing agreement otherwise ceasing to restrict the consummation of the Offer and the Merger) (the “Regulatory Condition”); (vi) the receipt by Viatris and Purchaser of a certificate executed on behalf of Pacira by its chief executive officer or chief financial officer confirming that the Representations Condition, the Covenants Condition and the MAE Condition have been duly satisfied; (vii) there not being in effect any law (other than any antitrust law) or Order (as defined below) promulgated, entered, enforced, enacted, issued or deemed applicable by any court or other governmental body of competent jurisdiction (any such law or Order, a “Legal Restraint”) that directly or indirectly enjoins, restrains or otherwise prohibits, or makes illegal, the acquisition of or payment for Shares pursuant to the Offer, or the consummation of the Merger (the “Non-Prohibition Condition”); (viii) there not being in effect any Legal Restraint imposing a Burdensome Condition (as such term is defined in the Merger Agreement and as described in more detail in Section 11 — “The Transaction Agreements”), and there not being pending any action, suit, charge, complaint, litigation or arbitration brought by any governmental body of competent jurisdiction seeking a Legal Restraint prohibiting, or making illegal, any of the transactions contemplated by the Merger Agreement or seeking to impose a Burdensome Condition; and (ix) the Merger Agreement not having been terminated in accordance with its terms (the “Termination Condition”). The Minimum Condition, the Termination Condition and the Non-Prohibition Condition may not be amended, modified, changed or waived by Viatris or Purchaser without the prior written consent of Pacira. Consummation of the Offer is not subject to a financing condition. The conditions to the Offer are described in more detail in Section 15 — “Conditions to the Offer” in this Offer to Purchase.</w:t>
      </w:r>
    </w:p>
    <w:p>
      <w:pPr>
        <w:spacing w:after="0" w:line="96" w:lineRule="exact"/>
        <w:rPr>
          <w:sz w:val="20"/>
          <w:szCs w:val="20"/>
          <w:color w:val="auto"/>
        </w:rPr>
      </w:pPr>
    </w:p>
    <w:p>
      <w:pPr>
        <w:ind w:left="300" w:right="319" w:firstLine="360"/>
        <w:spacing w:after="0" w:line="270" w:lineRule="auto"/>
        <w:rPr>
          <w:sz w:val="20"/>
          <w:szCs w:val="20"/>
          <w:color w:val="auto"/>
        </w:rPr>
      </w:pPr>
      <w:r>
        <w:rPr>
          <w:rFonts w:ascii="Times New Roman" w:cs="Times New Roman" w:eastAsia="Times New Roman" w:hAnsi="Times New Roman"/>
          <w:sz w:val="17"/>
          <w:szCs w:val="17"/>
          <w:b w:val="1"/>
          <w:bCs w:val="1"/>
          <w:color w:val="auto"/>
        </w:rPr>
        <w:t>The board of directors of Pacira (the “Pacira Board”) has unanimously (i) determined that the Merger Agreement and the transactions contemplated thereby, including the Offer and the Merger (together, the “Transactions”), are fair to, and in the best interest of, Pacira and its stockholders, and declared it advisable for Pacira to enter into the Merger Agreement and consummate the Transactions, (ii) approved the execution, delivery and performance by Pacira of the Merger Agreement and the consummation of the Transactions,</w:t>
      </w:r>
    </w:p>
    <w:p>
      <w:pPr>
        <w:spacing w:after="0" w:line="3" w:lineRule="exact"/>
        <w:rPr>
          <w:sz w:val="20"/>
          <w:szCs w:val="20"/>
          <w:color w:val="auto"/>
        </w:rPr>
      </w:pPr>
    </w:p>
    <w:p>
      <w:pPr>
        <w:jc w:val="both"/>
        <w:ind w:left="300" w:right="1119" w:hanging="8"/>
        <w:spacing w:after="0" w:line="290" w:lineRule="auto"/>
        <w:tabs>
          <w:tab w:leader="none" w:pos="615" w:val="left"/>
        </w:tabs>
        <w:numPr>
          <w:ilvl w:val="0"/>
          <w:numId w:val="1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resolved that the Merger will be effected under Section 251(h) of the DGCL and (iv) resolved to recommend that the stockholders of Pacira tender their Shares to Purchaser pursuant to the Offer.</w:t>
      </w:r>
    </w:p>
    <w:p>
      <w:pPr>
        <w:spacing w:after="0" w:line="45" w:lineRule="exact"/>
        <w:rPr>
          <w:sz w:val="20"/>
          <w:szCs w:val="20"/>
          <w:color w:val="auto"/>
        </w:rPr>
      </w:pPr>
    </w:p>
    <w:p>
      <w:pPr>
        <w:ind w:left="300" w:right="47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THE PACIRA BOARD HAS RECOMMENDED THAT YOU TENDER ALL OF YOUR SHARES TO PURCHASER PURSUANT TO THE OFFER.</w:t>
      </w:r>
    </w:p>
    <w:p>
      <w:pPr>
        <w:spacing w:after="0" w:line="51" w:lineRule="exact"/>
        <w:rPr>
          <w:sz w:val="20"/>
          <w:szCs w:val="20"/>
          <w:color w:val="auto"/>
        </w:rPr>
      </w:pPr>
    </w:p>
    <w:p>
      <w:pPr>
        <w:jc w:val="both"/>
        <w:ind w:left="300" w:right="439" w:firstLine="360"/>
        <w:spacing w:after="0" w:line="266" w:lineRule="auto"/>
        <w:rPr>
          <w:sz w:val="20"/>
          <w:szCs w:val="20"/>
          <w:color w:val="auto"/>
        </w:rPr>
      </w:pPr>
      <w:r>
        <w:rPr>
          <w:rFonts w:ascii="Times New Roman" w:cs="Times New Roman" w:eastAsia="Times New Roman" w:hAnsi="Times New Roman"/>
          <w:sz w:val="18"/>
          <w:szCs w:val="18"/>
          <w:color w:val="auto"/>
        </w:rPr>
        <w:t xml:space="preserve">A summary of the principal terms and conditions of the Offer is provided herein under the heading “Summary Term Sheet” beginning on page </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auto"/>
        </w:rPr>
        <w:t xml:space="preserve"> of this Offer to Purchase. You should read this entire Offer to Purchase carefully before deciding whether to tender your Shares pursuant to the Offer.</w:t>
      </w:r>
    </w:p>
    <w:p>
      <w:pPr>
        <w:spacing w:after="0" w:line="64"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b w:val="1"/>
          <w:bCs w:val="1"/>
          <w:color w:val="auto"/>
        </w:rPr>
        <w:t>NEITHER THE OFFER NOR THE MERGER HAS BEEN APPROVED OR DISAPPROVED BY THE UNITED STATES SECURITIES AND EXCHANGE COMMISSION (THE “SEC”) OR ANY STATE SECURITIES COMMISSION, NOR HAS THE SEC OR ANY STATE SECURITIES COMMISSION PASSED UPON THE FAIRNESS OR MERITS OF THE OFFER OR THE MERGER OR UPON THE ACCURACY OR ADEQUACY OF THE INFORMATION CONTAINED IN THIS OFFER TO PURCHASE OR THE LETTER OF TRANSMITTAL. ANY REPRESENTATION TO THE CONTRARY IS UNLAWFUL AND A CRIMINAL OFFENSE.</w:t>
      </w:r>
    </w:p>
    <w:p>
      <w:pPr>
        <w:spacing w:after="0" w:line="119"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18"/>
          <w:szCs w:val="18"/>
          <w:color w:val="auto"/>
        </w:rPr>
        <w:t>October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 w:name="page8"/>
    <w:bookmarkEnd w:id="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IMPORTANT</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you desire to tender all or any portion of your Shares to Purchaser pursuant to the Offer, you must either</w:t>
      </w:r>
    </w:p>
    <w:p>
      <w:pPr>
        <w:spacing w:after="0" w:line="27" w:lineRule="exact"/>
        <w:rPr>
          <w:sz w:val="20"/>
          <w:szCs w:val="20"/>
          <w:color w:val="auto"/>
        </w:rPr>
      </w:pPr>
    </w:p>
    <w:p>
      <w:pPr>
        <w:ind w:left="300" w:right="299" w:hanging="8"/>
        <w:spacing w:after="0" w:line="251" w:lineRule="auto"/>
        <w:tabs>
          <w:tab w:leader="none" w:pos="54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and sign the Letter of Transmittal for the Offer, which is enclosed with this Offer to Purchase, in accordance with the instructions contained in the Letter of Transmittal, and mail or deliver the Letter of Transmittal (or a manually executed facsimile thereof) and any other required documents to Equiniti Trust Company, LLC, in its capacity as depositary and paying agent for the Offer (which we refer to as the “Depositary”), and either deliver the certificates for your Shares to the Depositary along with the Letter of Transmittal (or a manually executed facsimile thereof) or tender your Shares by book-entry transfer by following the procedures described in Section 3 —“Procedures for Accepting the Offer and Tendering Shares”, in each case prior to one minute after 11:59 p.m., Eastern Time, on November 16, 2026 (the “Expiration Date”, unless Purchaser shall have extended the period during which the Offer is open in accordance with the Merger Agreement, in which event the “Expiration Date” shall mean the latest time and date at which the Offer, as so extended by Purchaser, shall expire), or (b) request that your broker, dealer, commercial bank, trust company or other nominee effect the transaction for you. If you hold Shares registered in the name of a broker, dealer, commercial bank, trust company or other nominee, you must contact that institution in order to tender your Shares to Purchaser before the Expiration Date pursuant to the Offer.</w:t>
      </w:r>
    </w:p>
    <w:p>
      <w:pPr>
        <w:spacing w:after="0" w:line="80" w:lineRule="exact"/>
        <w:rPr>
          <w:sz w:val="20"/>
          <w:szCs w:val="20"/>
          <w:color w:val="auto"/>
        </w:rPr>
      </w:pPr>
    </w:p>
    <w:p>
      <w:pPr>
        <w:ind w:left="300" w:right="31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THE LETTER OF TRANSMITTAL, THE CERTIFICATES FOR THE SHARES AND ANY OTHER REQUIRED DOCUMENTS MUST BE RECEIVED BY THE DEPOSITARY AT ONE OF ITS ADDRESSES SET FORTH ON THE BACK COVER OF THIS OFFER TO PURCHASE BEFORE THE EXPIRATION DATE.</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 * *</w:t>
      </w:r>
    </w:p>
    <w:p>
      <w:pPr>
        <w:spacing w:after="0" w:line="117" w:lineRule="exact"/>
        <w:rPr>
          <w:sz w:val="20"/>
          <w:szCs w:val="20"/>
          <w:color w:val="auto"/>
        </w:rPr>
      </w:pPr>
    </w:p>
    <w:p>
      <w:pPr>
        <w:ind w:left="300" w:right="359" w:firstLine="360"/>
        <w:spacing w:after="0" w:line="274" w:lineRule="auto"/>
        <w:rPr>
          <w:sz w:val="20"/>
          <w:szCs w:val="20"/>
          <w:color w:val="auto"/>
        </w:rPr>
      </w:pPr>
      <w:r>
        <w:rPr>
          <w:rFonts w:ascii="Times New Roman" w:cs="Times New Roman" w:eastAsia="Times New Roman" w:hAnsi="Times New Roman"/>
          <w:sz w:val="17"/>
          <w:szCs w:val="17"/>
          <w:color w:val="auto"/>
        </w:rPr>
        <w:t>Questions and requests for assistance should be directed to the Information Agent (as defined below) at its address and telephone numbers set forth below and on the back cover of this Offer to Purchase. Additional copies of this Offer to Purchase, the related Letter of Transmittal and other materials related to the Offer may also be obtained for free from the Information Agent. Additionally, copies of this Offer to Purchase, the related Letter of Transmittal and any other materials related to the Offer may be obtained at the website maintained by the SEC at www.sec.gov. You may also contact your broker, dealer, commercial bank, trust company or other nominee for assistance.</w:t>
      </w:r>
    </w:p>
    <w:p>
      <w:pPr>
        <w:spacing w:after="0" w:line="61" w:lineRule="exact"/>
        <w:rPr>
          <w:sz w:val="20"/>
          <w:szCs w:val="20"/>
          <w:color w:val="auto"/>
        </w:rPr>
      </w:pPr>
    </w:p>
    <w:p>
      <w:pPr>
        <w:ind w:left="300" w:right="85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THIS OFFER TO PURCHASE AND THE RELATED LETTER OF TRANSMITTAL CONTAIN IMPORTANT INFORMATION AND YOU SHOULD READ BOTH CAREFULLY AND IN THEIR ENTIRETY BEFORE MAKING A DECISION WITH RESPECT TO THE OFFER.</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Information Agent for the Offer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191770</wp:posOffset>
            </wp:positionH>
            <wp:positionV relativeFrom="paragraph">
              <wp:posOffset>172085</wp:posOffset>
            </wp:positionV>
            <wp:extent cx="5344795" cy="20358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5344795" cy="2035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w:t>
      </w:r>
    </w:p>
    <w:p>
      <w:pPr>
        <w:spacing w:after="0" w:line="158"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color w:val="auto"/>
        </w:rPr>
        <w:t>Innisfree M&amp;A Incorporated</w:t>
      </w:r>
    </w:p>
    <w:p>
      <w:pPr>
        <w:spacing w:after="0" w:line="27"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color w:val="auto"/>
        </w:rPr>
        <w:t>500 Fifth Avenue, 21st Floor</w:t>
      </w:r>
    </w:p>
    <w:p>
      <w:pPr>
        <w:spacing w:after="0" w:line="9"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color w:val="auto"/>
        </w:rPr>
        <w:t>New York, NY 10110</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Stockholders may call:</w:t>
      </w:r>
    </w:p>
    <w:p>
      <w:pPr>
        <w:spacing w:after="0" w:line="9" w:lineRule="exact"/>
        <w:rPr>
          <w:sz w:val="20"/>
          <w:szCs w:val="20"/>
          <w:color w:val="auto"/>
        </w:rPr>
      </w:pPr>
    </w:p>
    <w:p>
      <w:pPr>
        <w:ind w:left="2980" w:right="2539" w:hanging="483"/>
        <w:spacing w:after="0" w:line="250" w:lineRule="auto"/>
        <w:tabs>
          <w:tab w:leader="none" w:pos="292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239-1760 (toll-free from the U.S. and Canada) or +1 (412) 232-3651 (from other countries)</w:t>
      </w:r>
    </w:p>
    <w:p>
      <w:pPr>
        <w:ind w:left="4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Banks and Brokers may call collect: (212) 750-5833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108585</wp:posOffset>
            </wp:positionV>
            <wp:extent cx="699516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 w:name="page9"/>
    <w:bookmarkEnd w:id="8"/>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80" w:type="dxa"/>
            <w:vAlign w:val="bottom"/>
            <w:gridSpan w:val="8"/>
          </w:tcPr>
          <w:p>
            <w:pPr>
              <w:ind w:left="2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135"/>
        </w:trPr>
        <w:tc>
          <w:tcPr>
            <w:tcW w:w="1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tcPr>
          <w:p>
            <w:pPr>
              <w:spacing w:after="0"/>
              <w:rPr>
                <w:sz w:val="11"/>
                <w:szCs w:val="11"/>
                <w:color w:val="auto"/>
              </w:rPr>
            </w:pPr>
          </w:p>
        </w:tc>
      </w:tr>
      <w:tr>
        <w:trPr>
          <w:trHeight w:val="283"/>
        </w:trPr>
        <w:tc>
          <w:tcPr>
            <w:tcW w:w="1300" w:type="dxa"/>
            <w:vAlign w:val="bottom"/>
          </w:tcPr>
          <w:p>
            <w:pPr>
              <w:spacing w:after="0"/>
              <w:rPr>
                <w:sz w:val="24"/>
                <w:szCs w:val="24"/>
                <w:color w:val="auto"/>
              </w:rPr>
            </w:pPr>
          </w:p>
        </w:tc>
        <w:tc>
          <w:tcPr>
            <w:tcW w:w="7880" w:type="dxa"/>
            <w:vAlign w:val="bottom"/>
            <w:gridSpan w:val="24"/>
            <w:shd w:val="clear" w:color="auto" w:fill="CCEEFF"/>
          </w:tcPr>
          <w:p>
            <w:pPr>
              <w:spacing w:after="0"/>
              <w:rPr>
                <w:sz w:val="20"/>
                <w:szCs w:val="20"/>
                <w:color w:val="auto"/>
              </w:rPr>
            </w:pPr>
            <w:r>
              <w:rPr>
                <w:rFonts w:ascii="Times New Roman" w:cs="Times New Roman" w:eastAsia="Times New Roman" w:hAnsi="Times New Roman"/>
                <w:sz w:val="18"/>
                <w:szCs w:val="18"/>
                <w:color w:val="0000EE"/>
              </w:rPr>
              <w:t>SUMMARY TERM SHEET</w:t>
            </w:r>
          </w:p>
        </w:tc>
        <w:tc>
          <w:tcPr>
            <w:tcW w:w="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1</w:t>
            </w:r>
          </w:p>
        </w:tc>
        <w:tc>
          <w:tcPr>
            <w:tcW w:w="140" w:type="dxa"/>
            <w:vAlign w:val="bottom"/>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24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2060" w:type="dxa"/>
            <w:vAlign w:val="bottom"/>
            <w:gridSpan w:val="10"/>
          </w:tcPr>
          <w:p>
            <w:pPr>
              <w:spacing w:after="0" w:line="189" w:lineRule="exact"/>
              <w:rPr>
                <w:sz w:val="20"/>
                <w:szCs w:val="20"/>
                <w:color w:val="auto"/>
              </w:rPr>
            </w:pPr>
            <w:r>
              <w:rPr>
                <w:rFonts w:ascii="Times New Roman" w:cs="Times New Roman" w:eastAsia="Times New Roman" w:hAnsi="Times New Roman"/>
                <w:sz w:val="18"/>
                <w:szCs w:val="18"/>
                <w:color w:val="0000EE"/>
              </w:rPr>
              <w:t>INTRODUCTION</w:t>
            </w:r>
          </w:p>
        </w:tc>
        <w:tc>
          <w:tcPr>
            <w:tcW w:w="5820" w:type="dxa"/>
            <w:vAlign w:val="bottom"/>
            <w:gridSpan w:val="14"/>
          </w:tcPr>
          <w:p>
            <w:pPr>
              <w:spacing w:after="0"/>
              <w:rPr>
                <w:sz w:val="16"/>
                <w:szCs w:val="16"/>
                <w:color w:val="auto"/>
              </w:rPr>
            </w:pPr>
          </w:p>
        </w:tc>
        <w:tc>
          <w:tcPr>
            <w:tcW w:w="40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10</w:t>
            </w: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20" w:type="dxa"/>
            <w:vAlign w:val="bottom"/>
            <w:tcBorders>
              <w:top w:val="single" w:sz="8" w:color="0000EE"/>
            </w:tcBorders>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7880" w:type="dxa"/>
            <w:vAlign w:val="bottom"/>
            <w:gridSpan w:val="2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THE TENDER OFFER</w:t>
            </w:r>
          </w:p>
        </w:tc>
        <w:tc>
          <w:tcPr>
            <w:tcW w:w="40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12</w:t>
            </w:r>
          </w:p>
        </w:tc>
        <w:tc>
          <w:tcPr>
            <w:tcW w:w="140" w:type="dxa"/>
            <w:vAlign w:val="bottom"/>
            <w:shd w:val="clear" w:color="auto" w:fill="CCEEFF"/>
          </w:tcPr>
          <w:p>
            <w:pPr>
              <w:spacing w:after="0"/>
              <w:rPr>
                <w:sz w:val="16"/>
                <w:szCs w:val="16"/>
                <w:color w:val="auto"/>
              </w:rPr>
            </w:pP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24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400" w:type="dxa"/>
            <w:vAlign w:val="bottom"/>
            <w:gridSpan w:val="3"/>
          </w:tcPr>
          <w:p>
            <w:pPr>
              <w:ind w:left="180"/>
              <w:spacing w:after="0" w:line="189" w:lineRule="exact"/>
              <w:rPr>
                <w:sz w:val="20"/>
                <w:szCs w:val="20"/>
                <w:color w:val="auto"/>
              </w:rPr>
            </w:pPr>
            <w:r>
              <w:rPr>
                <w:rFonts w:ascii="Times New Roman" w:cs="Times New Roman" w:eastAsia="Times New Roman" w:hAnsi="Times New Roman"/>
                <w:sz w:val="18"/>
                <w:szCs w:val="18"/>
                <w:color w:val="0000EE"/>
              </w:rPr>
              <w:t>1.</w:t>
            </w:r>
          </w:p>
        </w:tc>
        <w:tc>
          <w:tcPr>
            <w:tcW w:w="140" w:type="dxa"/>
            <w:vAlign w:val="bottom"/>
          </w:tcPr>
          <w:p>
            <w:pPr>
              <w:spacing w:after="0"/>
              <w:rPr>
                <w:sz w:val="16"/>
                <w:szCs w:val="16"/>
                <w:color w:val="auto"/>
              </w:rPr>
            </w:pPr>
          </w:p>
        </w:tc>
        <w:tc>
          <w:tcPr>
            <w:tcW w:w="7340" w:type="dxa"/>
            <w:vAlign w:val="bottom"/>
            <w:gridSpan w:val="20"/>
          </w:tcPr>
          <w:p>
            <w:pPr>
              <w:spacing w:after="0" w:line="189" w:lineRule="exact"/>
              <w:rPr>
                <w:sz w:val="20"/>
                <w:szCs w:val="20"/>
                <w:color w:val="auto"/>
              </w:rPr>
            </w:pPr>
            <w:r>
              <w:rPr>
                <w:rFonts w:ascii="Times New Roman" w:cs="Times New Roman" w:eastAsia="Times New Roman" w:hAnsi="Times New Roman"/>
                <w:sz w:val="18"/>
                <w:szCs w:val="18"/>
                <w:color w:val="0000EE"/>
              </w:rPr>
              <w:t>Terms of the Offer.</w:t>
            </w:r>
          </w:p>
        </w:tc>
        <w:tc>
          <w:tcPr>
            <w:tcW w:w="40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12</w:t>
            </w: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400" w:type="dxa"/>
            <w:vAlign w:val="bottom"/>
            <w:gridSpan w:val="3"/>
            <w:shd w:val="clear" w:color="auto" w:fill="CCEEFF"/>
          </w:tcPr>
          <w:p>
            <w:pPr>
              <w:ind w:left="180"/>
              <w:spacing w:after="0" w:line="189" w:lineRule="exact"/>
              <w:rPr>
                <w:sz w:val="20"/>
                <w:szCs w:val="20"/>
                <w:color w:val="auto"/>
              </w:rPr>
            </w:pPr>
            <w:r>
              <w:rPr>
                <w:rFonts w:ascii="Times New Roman" w:cs="Times New Roman" w:eastAsia="Times New Roman" w:hAnsi="Times New Roman"/>
                <w:sz w:val="18"/>
                <w:szCs w:val="18"/>
                <w:color w:val="0000EE"/>
              </w:rPr>
              <w:t>2.</w:t>
            </w:r>
          </w:p>
        </w:tc>
        <w:tc>
          <w:tcPr>
            <w:tcW w:w="140" w:type="dxa"/>
            <w:vAlign w:val="bottom"/>
            <w:shd w:val="clear" w:color="auto" w:fill="CCEEFF"/>
          </w:tcPr>
          <w:p>
            <w:pPr>
              <w:spacing w:after="0"/>
              <w:rPr>
                <w:sz w:val="16"/>
                <w:szCs w:val="16"/>
                <w:color w:val="auto"/>
              </w:rPr>
            </w:pPr>
          </w:p>
        </w:tc>
        <w:tc>
          <w:tcPr>
            <w:tcW w:w="7340" w:type="dxa"/>
            <w:vAlign w:val="bottom"/>
            <w:gridSpan w:val="2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Acceptance for Payment and Payment for Shares.</w:t>
            </w:r>
          </w:p>
        </w:tc>
        <w:tc>
          <w:tcPr>
            <w:tcW w:w="40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13</w:t>
            </w:r>
          </w:p>
        </w:tc>
        <w:tc>
          <w:tcPr>
            <w:tcW w:w="140" w:type="dxa"/>
            <w:vAlign w:val="bottom"/>
            <w:shd w:val="clear" w:color="auto" w:fill="CCEEFF"/>
          </w:tcPr>
          <w:p>
            <w:pPr>
              <w:spacing w:after="0"/>
              <w:rPr>
                <w:sz w:val="16"/>
                <w:szCs w:val="16"/>
                <w:color w:val="auto"/>
              </w:rPr>
            </w:pP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24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400" w:type="dxa"/>
            <w:vAlign w:val="bottom"/>
            <w:gridSpan w:val="3"/>
          </w:tcPr>
          <w:p>
            <w:pPr>
              <w:ind w:left="180"/>
              <w:spacing w:after="0" w:line="189" w:lineRule="exact"/>
              <w:rPr>
                <w:sz w:val="20"/>
                <w:szCs w:val="20"/>
                <w:color w:val="auto"/>
              </w:rPr>
            </w:pPr>
            <w:r>
              <w:rPr>
                <w:rFonts w:ascii="Times New Roman" w:cs="Times New Roman" w:eastAsia="Times New Roman" w:hAnsi="Times New Roman"/>
                <w:sz w:val="18"/>
                <w:szCs w:val="18"/>
                <w:color w:val="0000EE"/>
              </w:rPr>
              <w:t>3.</w:t>
            </w:r>
          </w:p>
        </w:tc>
        <w:tc>
          <w:tcPr>
            <w:tcW w:w="140" w:type="dxa"/>
            <w:vAlign w:val="bottom"/>
          </w:tcPr>
          <w:p>
            <w:pPr>
              <w:spacing w:after="0"/>
              <w:rPr>
                <w:sz w:val="16"/>
                <w:szCs w:val="16"/>
                <w:color w:val="auto"/>
              </w:rPr>
            </w:pPr>
          </w:p>
        </w:tc>
        <w:tc>
          <w:tcPr>
            <w:tcW w:w="7340" w:type="dxa"/>
            <w:vAlign w:val="bottom"/>
            <w:gridSpan w:val="20"/>
          </w:tcPr>
          <w:p>
            <w:pPr>
              <w:spacing w:after="0" w:line="189" w:lineRule="exact"/>
              <w:rPr>
                <w:sz w:val="20"/>
                <w:szCs w:val="20"/>
                <w:color w:val="auto"/>
              </w:rPr>
            </w:pPr>
            <w:r>
              <w:rPr>
                <w:rFonts w:ascii="Times New Roman" w:cs="Times New Roman" w:eastAsia="Times New Roman" w:hAnsi="Times New Roman"/>
                <w:sz w:val="18"/>
                <w:szCs w:val="18"/>
                <w:color w:val="0000EE"/>
              </w:rPr>
              <w:t>Procedures for Accepting the Offer and Tendering Shares.</w:t>
            </w:r>
          </w:p>
        </w:tc>
        <w:tc>
          <w:tcPr>
            <w:tcW w:w="40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14</w:t>
            </w: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7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400" w:type="dxa"/>
            <w:vAlign w:val="bottom"/>
            <w:gridSpan w:val="3"/>
            <w:shd w:val="clear" w:color="auto" w:fill="CCEEFF"/>
          </w:tcPr>
          <w:p>
            <w:pPr>
              <w:ind w:left="180"/>
              <w:spacing w:after="0" w:line="189" w:lineRule="exact"/>
              <w:rPr>
                <w:sz w:val="20"/>
                <w:szCs w:val="20"/>
                <w:color w:val="auto"/>
              </w:rPr>
            </w:pPr>
            <w:r>
              <w:rPr>
                <w:rFonts w:ascii="Times New Roman" w:cs="Times New Roman" w:eastAsia="Times New Roman" w:hAnsi="Times New Roman"/>
                <w:sz w:val="18"/>
                <w:szCs w:val="18"/>
                <w:color w:val="0000EE"/>
              </w:rPr>
              <w:t>4.</w:t>
            </w:r>
          </w:p>
        </w:tc>
        <w:tc>
          <w:tcPr>
            <w:tcW w:w="140" w:type="dxa"/>
            <w:vAlign w:val="bottom"/>
            <w:shd w:val="clear" w:color="auto" w:fill="CCEEFF"/>
          </w:tcPr>
          <w:p>
            <w:pPr>
              <w:spacing w:after="0"/>
              <w:rPr>
                <w:sz w:val="16"/>
                <w:szCs w:val="16"/>
                <w:color w:val="auto"/>
              </w:rPr>
            </w:pPr>
          </w:p>
        </w:tc>
        <w:tc>
          <w:tcPr>
            <w:tcW w:w="7340" w:type="dxa"/>
            <w:vAlign w:val="bottom"/>
            <w:gridSpan w:val="2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Withdrawal Rights.</w:t>
            </w:r>
          </w:p>
        </w:tc>
        <w:tc>
          <w:tcPr>
            <w:tcW w:w="40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17</w:t>
            </w:r>
          </w:p>
        </w:tc>
        <w:tc>
          <w:tcPr>
            <w:tcW w:w="140" w:type="dxa"/>
            <w:vAlign w:val="bottom"/>
            <w:shd w:val="clear" w:color="auto" w:fill="CCEEFF"/>
          </w:tcPr>
          <w:p>
            <w:pPr>
              <w:spacing w:after="0"/>
              <w:rPr>
                <w:sz w:val="16"/>
                <w:szCs w:val="16"/>
                <w:color w:val="auto"/>
              </w:rPr>
            </w:pP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24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400" w:type="dxa"/>
            <w:vAlign w:val="bottom"/>
            <w:gridSpan w:val="3"/>
          </w:tcPr>
          <w:p>
            <w:pPr>
              <w:ind w:left="180"/>
              <w:spacing w:after="0" w:line="189" w:lineRule="exact"/>
              <w:rPr>
                <w:sz w:val="20"/>
                <w:szCs w:val="20"/>
                <w:color w:val="auto"/>
              </w:rPr>
            </w:pPr>
            <w:r>
              <w:rPr>
                <w:rFonts w:ascii="Times New Roman" w:cs="Times New Roman" w:eastAsia="Times New Roman" w:hAnsi="Times New Roman"/>
                <w:sz w:val="18"/>
                <w:szCs w:val="18"/>
                <w:color w:val="0000EE"/>
              </w:rPr>
              <w:t>5.</w:t>
            </w:r>
          </w:p>
        </w:tc>
        <w:tc>
          <w:tcPr>
            <w:tcW w:w="140" w:type="dxa"/>
            <w:vAlign w:val="bottom"/>
          </w:tcPr>
          <w:p>
            <w:pPr>
              <w:spacing w:after="0"/>
              <w:rPr>
                <w:sz w:val="16"/>
                <w:szCs w:val="16"/>
                <w:color w:val="auto"/>
              </w:rPr>
            </w:pPr>
          </w:p>
        </w:tc>
        <w:tc>
          <w:tcPr>
            <w:tcW w:w="7340" w:type="dxa"/>
            <w:vAlign w:val="bottom"/>
            <w:gridSpan w:val="20"/>
          </w:tcPr>
          <w:p>
            <w:pPr>
              <w:spacing w:after="0" w:line="189" w:lineRule="exact"/>
              <w:rPr>
                <w:sz w:val="20"/>
                <w:szCs w:val="20"/>
                <w:color w:val="auto"/>
              </w:rPr>
            </w:pPr>
            <w:r>
              <w:rPr>
                <w:rFonts w:ascii="Times New Roman" w:cs="Times New Roman" w:eastAsia="Times New Roman" w:hAnsi="Times New Roman"/>
                <w:sz w:val="18"/>
                <w:szCs w:val="18"/>
                <w:color w:val="0000EE"/>
              </w:rPr>
              <w:t>Material U.S. Federal Income Tax Consequences.</w:t>
            </w:r>
          </w:p>
        </w:tc>
        <w:tc>
          <w:tcPr>
            <w:tcW w:w="40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17</w:t>
            </w: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400" w:type="dxa"/>
            <w:vAlign w:val="bottom"/>
            <w:gridSpan w:val="3"/>
            <w:shd w:val="clear" w:color="auto" w:fill="CCEEFF"/>
          </w:tcPr>
          <w:p>
            <w:pPr>
              <w:ind w:left="180"/>
              <w:spacing w:after="0" w:line="189" w:lineRule="exact"/>
              <w:rPr>
                <w:sz w:val="20"/>
                <w:szCs w:val="20"/>
                <w:color w:val="auto"/>
              </w:rPr>
            </w:pPr>
            <w:r>
              <w:rPr>
                <w:rFonts w:ascii="Times New Roman" w:cs="Times New Roman" w:eastAsia="Times New Roman" w:hAnsi="Times New Roman"/>
                <w:sz w:val="18"/>
                <w:szCs w:val="18"/>
                <w:color w:val="0000EE"/>
              </w:rPr>
              <w:t>6.</w:t>
            </w:r>
          </w:p>
        </w:tc>
        <w:tc>
          <w:tcPr>
            <w:tcW w:w="140" w:type="dxa"/>
            <w:vAlign w:val="bottom"/>
            <w:shd w:val="clear" w:color="auto" w:fill="CCEEFF"/>
          </w:tcPr>
          <w:p>
            <w:pPr>
              <w:spacing w:after="0"/>
              <w:rPr>
                <w:sz w:val="16"/>
                <w:szCs w:val="16"/>
                <w:color w:val="auto"/>
              </w:rPr>
            </w:pPr>
          </w:p>
        </w:tc>
        <w:tc>
          <w:tcPr>
            <w:tcW w:w="7340" w:type="dxa"/>
            <w:vAlign w:val="bottom"/>
            <w:gridSpan w:val="2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Price Range of Shares; Dividends.</w:t>
            </w:r>
          </w:p>
        </w:tc>
        <w:tc>
          <w:tcPr>
            <w:tcW w:w="40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19</w:t>
            </w:r>
          </w:p>
        </w:tc>
        <w:tc>
          <w:tcPr>
            <w:tcW w:w="140" w:type="dxa"/>
            <w:vAlign w:val="bottom"/>
            <w:shd w:val="clear" w:color="auto" w:fill="CCEEFF"/>
          </w:tcPr>
          <w:p>
            <w:pPr>
              <w:spacing w:after="0"/>
              <w:rPr>
                <w:sz w:val="16"/>
                <w:szCs w:val="16"/>
                <w:color w:val="auto"/>
              </w:rPr>
            </w:pP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24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400" w:type="dxa"/>
            <w:vAlign w:val="bottom"/>
            <w:gridSpan w:val="3"/>
          </w:tcPr>
          <w:p>
            <w:pPr>
              <w:ind w:left="180"/>
              <w:spacing w:after="0" w:line="189" w:lineRule="exact"/>
              <w:rPr>
                <w:sz w:val="20"/>
                <w:szCs w:val="20"/>
                <w:color w:val="auto"/>
              </w:rPr>
            </w:pPr>
            <w:r>
              <w:rPr>
                <w:rFonts w:ascii="Times New Roman" w:cs="Times New Roman" w:eastAsia="Times New Roman" w:hAnsi="Times New Roman"/>
                <w:sz w:val="18"/>
                <w:szCs w:val="18"/>
                <w:color w:val="0000EE"/>
              </w:rPr>
              <w:t>7.</w:t>
            </w:r>
          </w:p>
        </w:tc>
        <w:tc>
          <w:tcPr>
            <w:tcW w:w="140" w:type="dxa"/>
            <w:vAlign w:val="bottom"/>
          </w:tcPr>
          <w:p>
            <w:pPr>
              <w:spacing w:after="0"/>
              <w:rPr>
                <w:sz w:val="16"/>
                <w:szCs w:val="16"/>
                <w:color w:val="auto"/>
              </w:rPr>
            </w:pPr>
          </w:p>
        </w:tc>
        <w:tc>
          <w:tcPr>
            <w:tcW w:w="7340" w:type="dxa"/>
            <w:vAlign w:val="bottom"/>
            <w:gridSpan w:val="20"/>
          </w:tcPr>
          <w:p>
            <w:pPr>
              <w:spacing w:after="0" w:line="189" w:lineRule="exact"/>
              <w:rPr>
                <w:sz w:val="20"/>
                <w:szCs w:val="20"/>
                <w:color w:val="auto"/>
              </w:rPr>
            </w:pPr>
            <w:r>
              <w:rPr>
                <w:rFonts w:ascii="Times New Roman" w:cs="Times New Roman" w:eastAsia="Times New Roman" w:hAnsi="Times New Roman"/>
                <w:sz w:val="18"/>
                <w:szCs w:val="18"/>
                <w:color w:val="0000EE"/>
              </w:rPr>
              <w:t>Certain Information Concerning Pacira.</w:t>
            </w:r>
          </w:p>
        </w:tc>
        <w:tc>
          <w:tcPr>
            <w:tcW w:w="40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20</w:t>
            </w: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400" w:type="dxa"/>
            <w:vAlign w:val="bottom"/>
            <w:gridSpan w:val="3"/>
            <w:shd w:val="clear" w:color="auto" w:fill="CCEEFF"/>
          </w:tcPr>
          <w:p>
            <w:pPr>
              <w:ind w:left="180"/>
              <w:spacing w:after="0" w:line="189" w:lineRule="exact"/>
              <w:rPr>
                <w:sz w:val="20"/>
                <w:szCs w:val="20"/>
                <w:color w:val="auto"/>
              </w:rPr>
            </w:pPr>
            <w:r>
              <w:rPr>
                <w:rFonts w:ascii="Times New Roman" w:cs="Times New Roman" w:eastAsia="Times New Roman" w:hAnsi="Times New Roman"/>
                <w:sz w:val="18"/>
                <w:szCs w:val="18"/>
                <w:color w:val="0000EE"/>
              </w:rPr>
              <w:t>8.</w:t>
            </w:r>
          </w:p>
        </w:tc>
        <w:tc>
          <w:tcPr>
            <w:tcW w:w="140" w:type="dxa"/>
            <w:vAlign w:val="bottom"/>
            <w:shd w:val="clear" w:color="auto" w:fill="CCEEFF"/>
          </w:tcPr>
          <w:p>
            <w:pPr>
              <w:spacing w:after="0"/>
              <w:rPr>
                <w:sz w:val="16"/>
                <w:szCs w:val="16"/>
                <w:color w:val="auto"/>
              </w:rPr>
            </w:pPr>
          </w:p>
        </w:tc>
        <w:tc>
          <w:tcPr>
            <w:tcW w:w="7340" w:type="dxa"/>
            <w:vAlign w:val="bottom"/>
            <w:gridSpan w:val="2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Certain Information Concerning Viatris and Purchaser.</w:t>
            </w:r>
          </w:p>
        </w:tc>
        <w:tc>
          <w:tcPr>
            <w:tcW w:w="40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21</w:t>
            </w:r>
          </w:p>
        </w:tc>
        <w:tc>
          <w:tcPr>
            <w:tcW w:w="140" w:type="dxa"/>
            <w:vAlign w:val="bottom"/>
            <w:shd w:val="clear" w:color="auto" w:fill="CCEEFF"/>
          </w:tcPr>
          <w:p>
            <w:pPr>
              <w:spacing w:after="0"/>
              <w:rPr>
                <w:sz w:val="16"/>
                <w:szCs w:val="16"/>
                <w:color w:val="auto"/>
              </w:rPr>
            </w:pP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24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400" w:type="dxa"/>
            <w:vAlign w:val="bottom"/>
            <w:gridSpan w:val="3"/>
          </w:tcPr>
          <w:p>
            <w:pPr>
              <w:ind w:left="180"/>
              <w:spacing w:after="0" w:line="189" w:lineRule="exact"/>
              <w:rPr>
                <w:sz w:val="20"/>
                <w:szCs w:val="20"/>
                <w:color w:val="auto"/>
              </w:rPr>
            </w:pPr>
            <w:r>
              <w:rPr>
                <w:rFonts w:ascii="Times New Roman" w:cs="Times New Roman" w:eastAsia="Times New Roman" w:hAnsi="Times New Roman"/>
                <w:sz w:val="18"/>
                <w:szCs w:val="18"/>
                <w:color w:val="0000EE"/>
              </w:rPr>
              <w:t>9.</w:t>
            </w:r>
          </w:p>
        </w:tc>
        <w:tc>
          <w:tcPr>
            <w:tcW w:w="140" w:type="dxa"/>
            <w:vAlign w:val="bottom"/>
          </w:tcPr>
          <w:p>
            <w:pPr>
              <w:spacing w:after="0"/>
              <w:rPr>
                <w:sz w:val="16"/>
                <w:szCs w:val="16"/>
                <w:color w:val="auto"/>
              </w:rPr>
            </w:pPr>
          </w:p>
        </w:tc>
        <w:tc>
          <w:tcPr>
            <w:tcW w:w="7340" w:type="dxa"/>
            <w:vAlign w:val="bottom"/>
            <w:gridSpan w:val="20"/>
          </w:tcPr>
          <w:p>
            <w:pPr>
              <w:spacing w:after="0" w:line="189" w:lineRule="exact"/>
              <w:rPr>
                <w:sz w:val="20"/>
                <w:szCs w:val="20"/>
                <w:color w:val="auto"/>
              </w:rPr>
            </w:pPr>
            <w:r>
              <w:rPr>
                <w:rFonts w:ascii="Times New Roman" w:cs="Times New Roman" w:eastAsia="Times New Roman" w:hAnsi="Times New Roman"/>
                <w:sz w:val="18"/>
                <w:szCs w:val="18"/>
                <w:color w:val="0000EE"/>
              </w:rPr>
              <w:t>Source and Amount of Funds.</w:t>
            </w:r>
          </w:p>
        </w:tc>
        <w:tc>
          <w:tcPr>
            <w:tcW w:w="40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22</w:t>
            </w: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540" w:type="dxa"/>
            <w:vAlign w:val="bottom"/>
            <w:gridSpan w:val="4"/>
            <w:shd w:val="clear" w:color="auto" w:fill="CCEEFF"/>
          </w:tcPr>
          <w:p>
            <w:pPr>
              <w:ind w:left="180"/>
              <w:spacing w:after="0" w:line="189" w:lineRule="exact"/>
              <w:rPr>
                <w:sz w:val="20"/>
                <w:szCs w:val="20"/>
                <w:color w:val="auto"/>
              </w:rPr>
            </w:pPr>
            <w:r>
              <w:rPr>
                <w:rFonts w:ascii="Times New Roman" w:cs="Times New Roman" w:eastAsia="Times New Roman" w:hAnsi="Times New Roman"/>
                <w:sz w:val="18"/>
                <w:szCs w:val="18"/>
                <w:color w:val="0000EE"/>
              </w:rPr>
              <w:t>10.</w:t>
            </w:r>
          </w:p>
        </w:tc>
        <w:tc>
          <w:tcPr>
            <w:tcW w:w="7340" w:type="dxa"/>
            <w:vAlign w:val="bottom"/>
            <w:gridSpan w:val="2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Background of the Offer; Past Contacts or Negotiations with Pacira.</w:t>
            </w:r>
          </w:p>
        </w:tc>
        <w:tc>
          <w:tcPr>
            <w:tcW w:w="40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22</w:t>
            </w:r>
          </w:p>
        </w:tc>
        <w:tc>
          <w:tcPr>
            <w:tcW w:w="140" w:type="dxa"/>
            <w:vAlign w:val="bottom"/>
            <w:shd w:val="clear" w:color="auto" w:fill="CCEEFF"/>
          </w:tcPr>
          <w:p>
            <w:pPr>
              <w:spacing w:after="0"/>
              <w:rPr>
                <w:sz w:val="16"/>
                <w:szCs w:val="16"/>
                <w:color w:val="auto"/>
              </w:rPr>
            </w:pP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720" w:type="dxa"/>
            <w:vAlign w:val="bottom"/>
            <w:tcBorders>
              <w:top w:val="single" w:sz="8" w:color="0000EE"/>
            </w:tcBorders>
            <w:shd w:val="clear" w:color="auto" w:fill="CCEEFF"/>
          </w:tcPr>
          <w:p>
            <w:pPr>
              <w:spacing w:after="0"/>
              <w:rPr>
                <w:sz w:val="2"/>
                <w:szCs w:val="2"/>
                <w:color w:val="auto"/>
              </w:rPr>
            </w:pPr>
          </w:p>
        </w:tc>
        <w:tc>
          <w:tcPr>
            <w:tcW w:w="24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400" w:type="dxa"/>
            <w:vAlign w:val="bottom"/>
            <w:gridSpan w:val="3"/>
          </w:tcPr>
          <w:p>
            <w:pPr>
              <w:ind w:left="180"/>
              <w:spacing w:after="0" w:line="189" w:lineRule="exact"/>
              <w:rPr>
                <w:sz w:val="20"/>
                <w:szCs w:val="20"/>
                <w:color w:val="auto"/>
              </w:rPr>
            </w:pPr>
            <w:r>
              <w:rPr>
                <w:rFonts w:ascii="Times New Roman" w:cs="Times New Roman" w:eastAsia="Times New Roman" w:hAnsi="Times New Roman"/>
                <w:sz w:val="18"/>
                <w:szCs w:val="18"/>
                <w:color w:val="0000EE"/>
                <w:w w:val="88"/>
              </w:rPr>
              <w:t>11.</w:t>
            </w:r>
          </w:p>
        </w:tc>
        <w:tc>
          <w:tcPr>
            <w:tcW w:w="140" w:type="dxa"/>
            <w:vAlign w:val="bottom"/>
          </w:tcPr>
          <w:p>
            <w:pPr>
              <w:spacing w:after="0"/>
              <w:rPr>
                <w:sz w:val="16"/>
                <w:szCs w:val="16"/>
                <w:color w:val="auto"/>
              </w:rPr>
            </w:pPr>
          </w:p>
        </w:tc>
        <w:tc>
          <w:tcPr>
            <w:tcW w:w="7340" w:type="dxa"/>
            <w:vAlign w:val="bottom"/>
            <w:gridSpan w:val="20"/>
          </w:tcPr>
          <w:p>
            <w:pPr>
              <w:spacing w:after="0" w:line="189" w:lineRule="exact"/>
              <w:rPr>
                <w:sz w:val="20"/>
                <w:szCs w:val="20"/>
                <w:color w:val="auto"/>
              </w:rPr>
            </w:pPr>
            <w:r>
              <w:rPr>
                <w:rFonts w:ascii="Times New Roman" w:cs="Times New Roman" w:eastAsia="Times New Roman" w:hAnsi="Times New Roman"/>
                <w:sz w:val="18"/>
                <w:szCs w:val="18"/>
                <w:color w:val="0000EE"/>
              </w:rPr>
              <w:t>The Transaction Agreements.</w:t>
            </w:r>
          </w:p>
        </w:tc>
        <w:tc>
          <w:tcPr>
            <w:tcW w:w="40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25</w:t>
            </w: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540" w:type="dxa"/>
            <w:vAlign w:val="bottom"/>
            <w:gridSpan w:val="4"/>
            <w:shd w:val="clear" w:color="auto" w:fill="CCEEFF"/>
          </w:tcPr>
          <w:p>
            <w:pPr>
              <w:ind w:left="180"/>
              <w:spacing w:after="0" w:line="189" w:lineRule="exact"/>
              <w:rPr>
                <w:sz w:val="20"/>
                <w:szCs w:val="20"/>
                <w:color w:val="auto"/>
              </w:rPr>
            </w:pPr>
            <w:r>
              <w:rPr>
                <w:rFonts w:ascii="Times New Roman" w:cs="Times New Roman" w:eastAsia="Times New Roman" w:hAnsi="Times New Roman"/>
                <w:sz w:val="18"/>
                <w:szCs w:val="18"/>
                <w:color w:val="0000EE"/>
              </w:rPr>
              <w:t>12.</w:t>
            </w:r>
          </w:p>
        </w:tc>
        <w:tc>
          <w:tcPr>
            <w:tcW w:w="7340" w:type="dxa"/>
            <w:vAlign w:val="bottom"/>
            <w:gridSpan w:val="2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Purpose of the Offer; Plans for Pacira.</w:t>
            </w:r>
          </w:p>
        </w:tc>
        <w:tc>
          <w:tcPr>
            <w:tcW w:w="40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46</w:t>
            </w:r>
          </w:p>
        </w:tc>
        <w:tc>
          <w:tcPr>
            <w:tcW w:w="140" w:type="dxa"/>
            <w:vAlign w:val="bottom"/>
            <w:shd w:val="clear" w:color="auto" w:fill="CCEEFF"/>
          </w:tcPr>
          <w:p>
            <w:pPr>
              <w:spacing w:after="0"/>
              <w:rPr>
                <w:sz w:val="16"/>
                <w:szCs w:val="16"/>
                <w:color w:val="auto"/>
              </w:rPr>
            </w:pP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24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540" w:type="dxa"/>
            <w:vAlign w:val="bottom"/>
            <w:gridSpan w:val="4"/>
          </w:tcPr>
          <w:p>
            <w:pPr>
              <w:ind w:left="180"/>
              <w:spacing w:after="0" w:line="189" w:lineRule="exact"/>
              <w:rPr>
                <w:sz w:val="20"/>
                <w:szCs w:val="20"/>
                <w:color w:val="auto"/>
              </w:rPr>
            </w:pPr>
            <w:r>
              <w:rPr>
                <w:rFonts w:ascii="Times New Roman" w:cs="Times New Roman" w:eastAsia="Times New Roman" w:hAnsi="Times New Roman"/>
                <w:sz w:val="18"/>
                <w:szCs w:val="18"/>
                <w:color w:val="0000EE"/>
              </w:rPr>
              <w:t>13.</w:t>
            </w:r>
          </w:p>
        </w:tc>
        <w:tc>
          <w:tcPr>
            <w:tcW w:w="7340" w:type="dxa"/>
            <w:vAlign w:val="bottom"/>
            <w:gridSpan w:val="20"/>
          </w:tcPr>
          <w:p>
            <w:pPr>
              <w:spacing w:after="0" w:line="189" w:lineRule="exact"/>
              <w:rPr>
                <w:sz w:val="20"/>
                <w:szCs w:val="20"/>
                <w:color w:val="auto"/>
              </w:rPr>
            </w:pPr>
            <w:r>
              <w:rPr>
                <w:rFonts w:ascii="Times New Roman" w:cs="Times New Roman" w:eastAsia="Times New Roman" w:hAnsi="Times New Roman"/>
                <w:sz w:val="18"/>
                <w:szCs w:val="18"/>
                <w:color w:val="0000EE"/>
              </w:rPr>
              <w:t>Certain Effects of the Offer.</w:t>
            </w:r>
          </w:p>
        </w:tc>
        <w:tc>
          <w:tcPr>
            <w:tcW w:w="40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47</w:t>
            </w: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540" w:type="dxa"/>
            <w:vAlign w:val="bottom"/>
            <w:gridSpan w:val="4"/>
            <w:shd w:val="clear" w:color="auto" w:fill="CCEEFF"/>
          </w:tcPr>
          <w:p>
            <w:pPr>
              <w:ind w:left="180"/>
              <w:spacing w:after="0" w:line="189" w:lineRule="exact"/>
              <w:rPr>
                <w:sz w:val="20"/>
                <w:szCs w:val="20"/>
                <w:color w:val="auto"/>
              </w:rPr>
            </w:pPr>
            <w:r>
              <w:rPr>
                <w:rFonts w:ascii="Times New Roman" w:cs="Times New Roman" w:eastAsia="Times New Roman" w:hAnsi="Times New Roman"/>
                <w:sz w:val="18"/>
                <w:szCs w:val="18"/>
                <w:color w:val="0000EE"/>
              </w:rPr>
              <w:t>14.</w:t>
            </w:r>
          </w:p>
        </w:tc>
        <w:tc>
          <w:tcPr>
            <w:tcW w:w="7340" w:type="dxa"/>
            <w:vAlign w:val="bottom"/>
            <w:gridSpan w:val="2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Dividends and Distributions.</w:t>
            </w:r>
          </w:p>
        </w:tc>
        <w:tc>
          <w:tcPr>
            <w:tcW w:w="40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48</w:t>
            </w:r>
          </w:p>
        </w:tc>
        <w:tc>
          <w:tcPr>
            <w:tcW w:w="140" w:type="dxa"/>
            <w:vAlign w:val="bottom"/>
            <w:shd w:val="clear" w:color="auto" w:fill="CCEEFF"/>
          </w:tcPr>
          <w:p>
            <w:pPr>
              <w:spacing w:after="0"/>
              <w:rPr>
                <w:sz w:val="16"/>
                <w:szCs w:val="16"/>
                <w:color w:val="auto"/>
              </w:rPr>
            </w:pP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24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540" w:type="dxa"/>
            <w:vAlign w:val="bottom"/>
            <w:gridSpan w:val="4"/>
          </w:tcPr>
          <w:p>
            <w:pPr>
              <w:ind w:left="180"/>
              <w:spacing w:after="0" w:line="189" w:lineRule="exact"/>
              <w:rPr>
                <w:sz w:val="20"/>
                <w:szCs w:val="20"/>
                <w:color w:val="auto"/>
              </w:rPr>
            </w:pPr>
            <w:r>
              <w:rPr>
                <w:rFonts w:ascii="Times New Roman" w:cs="Times New Roman" w:eastAsia="Times New Roman" w:hAnsi="Times New Roman"/>
                <w:sz w:val="18"/>
                <w:szCs w:val="18"/>
                <w:color w:val="0000EE"/>
              </w:rPr>
              <w:t>15.</w:t>
            </w:r>
          </w:p>
        </w:tc>
        <w:tc>
          <w:tcPr>
            <w:tcW w:w="7340" w:type="dxa"/>
            <w:vAlign w:val="bottom"/>
            <w:gridSpan w:val="20"/>
          </w:tcPr>
          <w:p>
            <w:pPr>
              <w:spacing w:after="0" w:line="189" w:lineRule="exact"/>
              <w:rPr>
                <w:sz w:val="20"/>
                <w:szCs w:val="20"/>
                <w:color w:val="auto"/>
              </w:rPr>
            </w:pPr>
            <w:r>
              <w:rPr>
                <w:rFonts w:ascii="Times New Roman" w:cs="Times New Roman" w:eastAsia="Times New Roman" w:hAnsi="Times New Roman"/>
                <w:sz w:val="18"/>
                <w:szCs w:val="18"/>
                <w:color w:val="0000EE"/>
              </w:rPr>
              <w:t>Conditions to the Offer.</w:t>
            </w:r>
          </w:p>
        </w:tc>
        <w:tc>
          <w:tcPr>
            <w:tcW w:w="40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48</w:t>
            </w: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540" w:type="dxa"/>
            <w:vAlign w:val="bottom"/>
            <w:gridSpan w:val="4"/>
            <w:shd w:val="clear" w:color="auto" w:fill="CCEEFF"/>
          </w:tcPr>
          <w:p>
            <w:pPr>
              <w:ind w:left="180"/>
              <w:spacing w:after="0" w:line="189" w:lineRule="exact"/>
              <w:rPr>
                <w:sz w:val="20"/>
                <w:szCs w:val="20"/>
                <w:color w:val="auto"/>
              </w:rPr>
            </w:pPr>
            <w:r>
              <w:rPr>
                <w:rFonts w:ascii="Times New Roman" w:cs="Times New Roman" w:eastAsia="Times New Roman" w:hAnsi="Times New Roman"/>
                <w:sz w:val="18"/>
                <w:szCs w:val="18"/>
                <w:color w:val="0000EE"/>
              </w:rPr>
              <w:t>16.</w:t>
            </w:r>
          </w:p>
        </w:tc>
        <w:tc>
          <w:tcPr>
            <w:tcW w:w="7340" w:type="dxa"/>
            <w:vAlign w:val="bottom"/>
            <w:gridSpan w:val="2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Certain Legal Matters; Regulatory Approvals.</w:t>
            </w:r>
          </w:p>
        </w:tc>
        <w:tc>
          <w:tcPr>
            <w:tcW w:w="40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50</w:t>
            </w:r>
          </w:p>
        </w:tc>
        <w:tc>
          <w:tcPr>
            <w:tcW w:w="140" w:type="dxa"/>
            <w:vAlign w:val="bottom"/>
            <w:shd w:val="clear" w:color="auto" w:fill="CCEEFF"/>
          </w:tcPr>
          <w:p>
            <w:pPr>
              <w:spacing w:after="0"/>
              <w:rPr>
                <w:sz w:val="16"/>
                <w:szCs w:val="16"/>
                <w:color w:val="auto"/>
              </w:rPr>
            </w:pP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24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540" w:type="dxa"/>
            <w:vAlign w:val="bottom"/>
            <w:gridSpan w:val="4"/>
          </w:tcPr>
          <w:p>
            <w:pPr>
              <w:ind w:left="180"/>
              <w:spacing w:after="0" w:line="189" w:lineRule="exact"/>
              <w:rPr>
                <w:sz w:val="20"/>
                <w:szCs w:val="20"/>
                <w:color w:val="auto"/>
              </w:rPr>
            </w:pPr>
            <w:r>
              <w:rPr>
                <w:rFonts w:ascii="Times New Roman" w:cs="Times New Roman" w:eastAsia="Times New Roman" w:hAnsi="Times New Roman"/>
                <w:sz w:val="18"/>
                <w:szCs w:val="18"/>
                <w:color w:val="0000EE"/>
              </w:rPr>
              <w:t>17.</w:t>
            </w:r>
          </w:p>
        </w:tc>
        <w:tc>
          <w:tcPr>
            <w:tcW w:w="7340" w:type="dxa"/>
            <w:vAlign w:val="bottom"/>
            <w:gridSpan w:val="20"/>
          </w:tcPr>
          <w:p>
            <w:pPr>
              <w:spacing w:after="0" w:line="189" w:lineRule="exact"/>
              <w:rPr>
                <w:sz w:val="20"/>
                <w:szCs w:val="20"/>
                <w:color w:val="auto"/>
              </w:rPr>
            </w:pPr>
            <w:r>
              <w:rPr>
                <w:rFonts w:ascii="Times New Roman" w:cs="Times New Roman" w:eastAsia="Times New Roman" w:hAnsi="Times New Roman"/>
                <w:sz w:val="18"/>
                <w:szCs w:val="18"/>
                <w:color w:val="0000EE"/>
              </w:rPr>
              <w:t>Fees and Expenses.</w:t>
            </w:r>
          </w:p>
        </w:tc>
        <w:tc>
          <w:tcPr>
            <w:tcW w:w="40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53</w:t>
            </w: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540" w:type="dxa"/>
            <w:vAlign w:val="bottom"/>
            <w:gridSpan w:val="4"/>
            <w:shd w:val="clear" w:color="auto" w:fill="CCEEFF"/>
          </w:tcPr>
          <w:p>
            <w:pPr>
              <w:ind w:left="180"/>
              <w:spacing w:after="0" w:line="189" w:lineRule="exact"/>
              <w:rPr>
                <w:sz w:val="20"/>
                <w:szCs w:val="20"/>
                <w:color w:val="auto"/>
              </w:rPr>
            </w:pPr>
            <w:r>
              <w:rPr>
                <w:rFonts w:ascii="Times New Roman" w:cs="Times New Roman" w:eastAsia="Times New Roman" w:hAnsi="Times New Roman"/>
                <w:sz w:val="18"/>
                <w:szCs w:val="18"/>
                <w:color w:val="0000EE"/>
              </w:rPr>
              <w:t>18.</w:t>
            </w:r>
          </w:p>
        </w:tc>
        <w:tc>
          <w:tcPr>
            <w:tcW w:w="7340" w:type="dxa"/>
            <w:vAlign w:val="bottom"/>
            <w:gridSpan w:val="2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Miscellaneous.</w:t>
            </w:r>
          </w:p>
        </w:tc>
        <w:tc>
          <w:tcPr>
            <w:tcW w:w="40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54</w:t>
            </w:r>
          </w:p>
        </w:tc>
        <w:tc>
          <w:tcPr>
            <w:tcW w:w="140" w:type="dxa"/>
            <w:vAlign w:val="bottom"/>
            <w:shd w:val="clear" w:color="auto" w:fill="CCEEFF"/>
          </w:tcPr>
          <w:p>
            <w:pPr>
              <w:spacing w:after="0"/>
              <w:rPr>
                <w:sz w:val="16"/>
                <w:szCs w:val="16"/>
                <w:color w:val="auto"/>
              </w:rPr>
            </w:pPr>
          </w:p>
        </w:tc>
        <w:tc>
          <w:tcPr>
            <w:tcW w:w="1300" w:type="dxa"/>
            <w:vAlign w:val="bottom"/>
          </w:tcPr>
          <w:p>
            <w:pPr>
              <w:spacing w:after="0"/>
              <w:rPr>
                <w:sz w:val="16"/>
                <w:szCs w:val="16"/>
                <w:color w:val="auto"/>
              </w:rPr>
            </w:pPr>
          </w:p>
        </w:tc>
      </w:tr>
      <w:tr>
        <w:trPr>
          <w:trHeight w:val="74"/>
        </w:trPr>
        <w:tc>
          <w:tcPr>
            <w:tcW w:w="1300" w:type="dxa"/>
            <w:vAlign w:val="bottom"/>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82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720" w:type="dxa"/>
            <w:vAlign w:val="bottom"/>
            <w:tcBorders>
              <w:top w:val="single" w:sz="8" w:color="CCEEFF"/>
            </w:tcBorders>
            <w:shd w:val="clear" w:color="auto" w:fill="CCEEFF"/>
          </w:tcPr>
          <w:p>
            <w:pPr>
              <w:spacing w:after="0"/>
              <w:rPr>
                <w:sz w:val="6"/>
                <w:szCs w:val="6"/>
                <w:color w:val="auto"/>
              </w:rPr>
            </w:pPr>
          </w:p>
        </w:tc>
        <w:tc>
          <w:tcPr>
            <w:tcW w:w="244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3" w:right="439" w:bottom="1440" w:gutter="0" w:footer="0" w:header="0"/>
        </w:sectPr>
      </w:pPr>
    </w:p>
    <w:bookmarkStart w:id="9" w:name="page10"/>
    <w:bookmarkEnd w:id="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SUMMARY TERM SHEET</w:t>
      </w:r>
    </w:p>
    <w:p>
      <w:pPr>
        <w:spacing w:after="0" w:line="121"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The information contained in this summary term sheet is a summary only and is not meant to be a substitute for the more detailed description and information contained in the remainder of this Offer to Purchase (this “Offer to Purchase”), the Letter of Transmittal (the “Letter of Transmittal”) and other related materials (the Offer to Purchase, the Letter of Transmittal and such other related materials, as each may be amended or supplemented from time to time, collectively constitute the “Offer”). You are urged to read carefully this Offer to Purchase, the Letter of Transmittal and other related materials in their entirety. Viatris Inc. (“Viatris”) and Peach Purchaser Sub Inc. (“Purchaser”) have included cross-references in this summary term sheet to other sections of this Offer to Purchase where you will find more complete descriptions of the topics mentioned below. The information concerning Pacira BioSciences, Inc. (“Pacira”) contained in this summary term sheet and elsewhere in this Offer to Purchase has been provided to Viatris and Purchaser by Pacira or has been taken from or is based upon publicly available documents or records of Pacira on file with the United States Securities and Exchange Commission (the “SEC”) or other public sources as of the date hereof. Viatris and Purchaser have not independently verified the accuracy and completeness of such information.</w:t>
      </w:r>
    </w:p>
    <w:p>
      <w:pPr>
        <w:sectPr>
          <w:pgSz w:w="11900" w:h="16838" w:orient="portrait"/>
          <w:cols w:equalWidth="0" w:num="1">
            <w:col w:w="9019"/>
          </w:cols>
          <w:pgMar w:left="1440" w:top="263" w:right="1440" w:bottom="1440" w:gutter="0" w:footer="0" w:header="0"/>
        </w:sectPr>
      </w:pPr>
    </w:p>
    <w:p>
      <w:pPr>
        <w:spacing w:after="0" w:line="2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Securities Sought</w:t>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ind w:right="419"/>
        <w:spacing w:after="0" w:line="256" w:lineRule="auto"/>
        <w:rPr>
          <w:sz w:val="20"/>
          <w:szCs w:val="20"/>
          <w:color w:val="auto"/>
        </w:rPr>
      </w:pPr>
      <w:r>
        <w:rPr>
          <w:rFonts w:ascii="Times New Roman" w:cs="Times New Roman" w:eastAsia="Times New Roman" w:hAnsi="Times New Roman"/>
          <w:sz w:val="18"/>
          <w:szCs w:val="18"/>
          <w:color w:val="auto"/>
        </w:rPr>
        <w:t>Subject to certain conditions, including the satisfaction of the Minimum Condition (as defined below), all issued and outstanding shares of common stock, par value $0.001 per share, of Pacira (the “Shares”), other than Excluded Shares and Dissenting Shares (each as defined in the Agreement and Plan of Merger, dated October 8, 2026 (as it may be amended from time to time, the “Merger Agreement”)).</w:t>
      </w:r>
    </w:p>
    <w:p>
      <w:pPr>
        <w:spacing w:after="0" w:line="200" w:lineRule="exact"/>
        <w:rPr>
          <w:sz w:val="20"/>
          <w:szCs w:val="20"/>
          <w:color w:val="auto"/>
        </w:rPr>
      </w:pPr>
    </w:p>
    <w:p>
      <w:pPr>
        <w:sectPr>
          <w:pgSz w:w="11900" w:h="16838" w:orient="portrait"/>
          <w:cols w:equalWidth="0" w:num="2">
            <w:col w:w="1940" w:space="720"/>
            <w:col w:w="6359"/>
          </w:cols>
          <w:pgMar w:left="1440" w:top="263" w:right="1440" w:bottom="1440" w:gutter="0" w:footer="0" w:header="0"/>
          <w:type w:val="continuous"/>
        </w:sectPr>
      </w:pPr>
    </w:p>
    <w:p>
      <w:pPr>
        <w:spacing w:after="0" w:line="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Price Offered Per Share</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ind w:right="339"/>
        <w:spacing w:after="0" w:line="266" w:lineRule="auto"/>
        <w:rPr>
          <w:sz w:val="20"/>
          <w:szCs w:val="20"/>
          <w:color w:val="auto"/>
        </w:rPr>
      </w:pPr>
      <w:r>
        <w:rPr>
          <w:rFonts w:ascii="Times New Roman" w:cs="Times New Roman" w:eastAsia="Times New Roman" w:hAnsi="Times New Roman"/>
          <w:sz w:val="18"/>
          <w:szCs w:val="18"/>
          <w:color w:val="auto"/>
        </w:rPr>
        <w:t>$36.50 per Share, to the seller thereof in cash, net of applicable withholding taxes and without interest (such amount, or any higher amount per Share paid pursuant to the Offer, the “Offer Price”).</w:t>
      </w:r>
    </w:p>
    <w:p>
      <w:pPr>
        <w:spacing w:after="0" w:line="200" w:lineRule="exact"/>
        <w:rPr>
          <w:sz w:val="20"/>
          <w:szCs w:val="20"/>
          <w:color w:val="auto"/>
        </w:rPr>
      </w:pPr>
    </w:p>
    <w:p>
      <w:pPr>
        <w:sectPr>
          <w:pgSz w:w="11900" w:h="16838" w:orient="portrait"/>
          <w:cols w:equalWidth="0" w:num="2">
            <w:col w:w="2140" w:space="520"/>
            <w:col w:w="6359"/>
          </w:cols>
          <w:pgMar w:left="1440" w:top="263" w:right="1440" w:bottom="1440" w:gutter="0" w:footer="0" w:header="0"/>
          <w:type w:val="continuous"/>
        </w:sectPr>
      </w:pPr>
    </w:p>
    <w:p>
      <w:pPr>
        <w:spacing w:after="0" w:line="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Scheduled Expiration of</w:t>
      </w:r>
    </w:p>
    <w:p>
      <w:pPr>
        <w:spacing w:after="0" w:line="4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Offer; Offer Closing</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Expiration of the Offer will occur at the end of the day, one minute after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11:59 P.M., Eastern Time, on November 16, 2026, unless the Offer is extended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earlier terminated in accordance with the Merger Agreement; acceptance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payment for Shares is expected to occur on November 17, 2026, unless the Offer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extended pursuant to the terms of the Merger Agreement. See Section 1 — “Terms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Offer.”</w:t>
      </w:r>
    </w:p>
    <w:p>
      <w:pPr>
        <w:spacing w:after="0" w:line="200" w:lineRule="exact"/>
        <w:rPr>
          <w:sz w:val="20"/>
          <w:szCs w:val="20"/>
          <w:color w:val="auto"/>
        </w:rPr>
      </w:pPr>
    </w:p>
    <w:p>
      <w:pPr>
        <w:sectPr>
          <w:pgSz w:w="11900" w:h="16838" w:orient="portrait"/>
          <w:cols w:equalWidth="0" w:num="2">
            <w:col w:w="2160" w:space="500"/>
            <w:col w:w="6359"/>
          </w:cols>
          <w:pgMar w:left="1440" w:top="263" w:right="1440" w:bottom="1440" w:gutter="0" w:footer="0" w:header="0"/>
          <w:type w:val="continuous"/>
        </w:sectPr>
      </w:pPr>
    </w:p>
    <w:p>
      <w:pPr>
        <w:spacing w:after="0" w:line="5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Offeror</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ind w:right="459"/>
        <w:spacing w:after="0" w:line="282" w:lineRule="auto"/>
        <w:rPr>
          <w:sz w:val="20"/>
          <w:szCs w:val="20"/>
          <w:color w:val="auto"/>
        </w:rPr>
      </w:pPr>
      <w:r>
        <w:rPr>
          <w:rFonts w:ascii="Times New Roman" w:cs="Times New Roman" w:eastAsia="Times New Roman" w:hAnsi="Times New Roman"/>
          <w:sz w:val="18"/>
          <w:szCs w:val="18"/>
          <w:color w:val="auto"/>
        </w:rPr>
        <w:t>Peach Purchaser Sub Inc., a Delaware corporation and a wholly owned subsidiary of Viatris Inc., a Delaware corporation.</w:t>
      </w:r>
    </w:p>
    <w:p>
      <w:pPr>
        <w:spacing w:after="0" w:line="200" w:lineRule="exact"/>
        <w:rPr>
          <w:sz w:val="20"/>
          <w:szCs w:val="20"/>
          <w:color w:val="auto"/>
        </w:rPr>
      </w:pPr>
    </w:p>
    <w:p>
      <w:pPr>
        <w:sectPr>
          <w:pgSz w:w="11900" w:h="16838" w:orient="portrait"/>
          <w:cols w:equalWidth="0" w:num="2">
            <w:col w:w="1940" w:space="720"/>
            <w:col w:w="6359"/>
          </w:cols>
          <w:pgMar w:left="1440" w:top="263" w:right="1440" w:bottom="1440" w:gutter="0" w:footer="0" w:header="0"/>
          <w:type w:val="continuous"/>
        </w:sectPr>
      </w:pPr>
    </w:p>
    <w:p>
      <w:pPr>
        <w:spacing w:after="0" w:line="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Pacira Board</w:t>
      </w:r>
    </w:p>
    <w:p>
      <w:pPr>
        <w:spacing w:after="0" w:line="3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b w:val="1"/>
          <w:bCs w:val="1"/>
          <w:color w:val="auto"/>
        </w:rPr>
        <w:t>Recommendation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The board of directors of Pacira (the “Pacira Board”) has unanimously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determined that the Merger Agreement and the transactions contemplated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thereby, including the Offer and the Merger (as defined below) (together,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“Transactions”), are fair to, and in the best interest of, Pacira and its stockholders,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declared it advisable for Pacira to enter into the Merger Agreement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consummate the Transactions, (ii) approved the execution, delivery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performance by Pacira of the Merger Agreement and the consummation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Transactions, (iii) resolved that the Merger will be effected under Section 251(h)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General Corporation Law of the State of Delaware (the “DGCL”)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(iv) resolved to recommend that the stockholders of Pacira tender their Shares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Purchaser pursuant to the Offer.</w:t>
      </w:r>
    </w:p>
    <w:p>
      <w:pPr>
        <w:spacing w:after="0" w:line="200" w:lineRule="exact"/>
        <w:rPr>
          <w:sz w:val="20"/>
          <w:szCs w:val="20"/>
          <w:color w:val="auto"/>
        </w:rPr>
      </w:pPr>
    </w:p>
    <w:p>
      <w:pPr>
        <w:sectPr>
          <w:pgSz w:w="11900" w:h="16838" w:orient="portrait"/>
          <w:cols w:equalWidth="0" w:num="2">
            <w:col w:w="1940" w:space="720"/>
            <w:col w:w="6359"/>
          </w:cols>
          <w:pgMar w:left="1440" w:top="263" w:right="1440" w:bottom="1440" w:gutter="0" w:footer="0" w:header="0"/>
          <w:type w:val="continuous"/>
        </w:sectPr>
      </w:pPr>
    </w:p>
    <w:p>
      <w:pPr>
        <w:spacing w:after="0" w:line="16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Who is offering to purchase my Shares?</w:t>
      </w:r>
    </w:p>
    <w:p>
      <w:pPr>
        <w:spacing w:after="0" w:line="121" w:lineRule="exact"/>
        <w:rPr>
          <w:sz w:val="20"/>
          <w:szCs w:val="20"/>
          <w:color w:val="auto"/>
        </w:rPr>
      </w:pPr>
    </w:p>
    <w:p>
      <w:pPr>
        <w:ind w:left="300" w:right="379" w:firstLine="360"/>
        <w:spacing w:after="0" w:line="258" w:lineRule="auto"/>
        <w:rPr>
          <w:sz w:val="20"/>
          <w:szCs w:val="20"/>
          <w:color w:val="auto"/>
        </w:rPr>
      </w:pPr>
      <w:r>
        <w:rPr>
          <w:rFonts w:ascii="Times New Roman" w:cs="Times New Roman" w:eastAsia="Times New Roman" w:hAnsi="Times New Roman"/>
          <w:sz w:val="18"/>
          <w:szCs w:val="18"/>
          <w:color w:val="auto"/>
        </w:rPr>
        <w:t>Purchaser, which is a wholly owned subsidiary of Viatris, is offering to purchase for cash all of the outstanding Shares. Purchaser is a Delaware corporation that was formed for the sole purpose of making the Offer, completing the process by which Purchaser will be merged with and into Pacira and ancillary activities in connection with the Offer and the Merger. See the “Introduction” to this Offer to Purchase and Section 8 — “Certain Information Concerning Viatris and Purchaser.”</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10" w:name="page11"/>
    <w:bookmarkEnd w:id="1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Unless the context indicates otherwise, in this Offer to Purchase, we use the terms “us”, “we” and “our” to refer to Purchaser and, where appropriate, Viatris.</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many Shares are you seeking to purchase in the Offer?</w:t>
      </w:r>
    </w:p>
    <w:p>
      <w:pPr>
        <w:spacing w:after="0" w:line="121" w:lineRule="exact"/>
        <w:rPr>
          <w:sz w:val="20"/>
          <w:szCs w:val="20"/>
          <w:color w:val="auto"/>
        </w:rPr>
      </w:pPr>
    </w:p>
    <w:p>
      <w:pPr>
        <w:jc w:val="both"/>
        <w:ind w:left="300" w:right="379" w:firstLine="360"/>
        <w:spacing w:after="0" w:line="312" w:lineRule="auto"/>
        <w:rPr>
          <w:sz w:val="20"/>
          <w:szCs w:val="20"/>
          <w:color w:val="auto"/>
        </w:rPr>
      </w:pPr>
      <w:r>
        <w:rPr>
          <w:rFonts w:ascii="Times New Roman" w:cs="Times New Roman" w:eastAsia="Times New Roman" w:hAnsi="Times New Roman"/>
          <w:sz w:val="17"/>
          <w:szCs w:val="17"/>
          <w:color w:val="auto"/>
        </w:rPr>
        <w:t>We are offering to purchase all of the issued and outstanding Shares of Pacira upon the terms and subject to the conditions set forth in this Offer to Purchase. In this Offer to Purchase, we use the term “Offer” to refer to this offer.</w:t>
      </w:r>
    </w:p>
    <w:p>
      <w:pPr>
        <w:spacing w:after="0" w:line="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the “Introduction” to this Offer to Purchase and Section 1 — “Terms of the Offer.”</w:t>
      </w:r>
    </w:p>
    <w:p>
      <w:pPr>
        <w:spacing w:after="0" w:line="3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Why are you making the Offer?</w:t>
      </w:r>
    </w:p>
    <w:p>
      <w:pPr>
        <w:spacing w:after="0" w:line="121" w:lineRule="exact"/>
        <w:rPr>
          <w:sz w:val="20"/>
          <w:szCs w:val="20"/>
          <w:color w:val="auto"/>
        </w:rPr>
      </w:pPr>
    </w:p>
    <w:p>
      <w:pPr>
        <w:ind w:left="300" w:right="439" w:firstLine="360"/>
        <w:spacing w:after="0" w:line="256" w:lineRule="auto"/>
        <w:rPr>
          <w:sz w:val="20"/>
          <w:szCs w:val="20"/>
          <w:color w:val="auto"/>
        </w:rPr>
      </w:pPr>
      <w:r>
        <w:rPr>
          <w:rFonts w:ascii="Times New Roman" w:cs="Times New Roman" w:eastAsia="Times New Roman" w:hAnsi="Times New Roman"/>
          <w:sz w:val="18"/>
          <w:szCs w:val="18"/>
          <w:color w:val="auto"/>
        </w:rPr>
        <w:t>We are making the Offer because we want to acquire the entire equity interest of Pacira. If the Offer is consummated, pursuant to the Merger Agreement, Viatris intends thereafter to cause Purchaser to consummate the Merger as soon as practicable (as described below). Upon consummation of the Merger, Pacira would cease to be a publicly traded company and would be a wholly owned subsidiary of Viatris. In addition, after completion of the Merger, we intend to cause the Shares to be delisted from the Nasdaq Global Select Market and deregistered under the Securities Exchange Act of 1934, as amended (the “Exchange Act”).</w:t>
      </w:r>
    </w:p>
    <w:p>
      <w:pPr>
        <w:spacing w:after="0" w:line="1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Section 12 — “Purpose of the Offer; Plans for Pacira.”</w:t>
      </w:r>
    </w:p>
    <w:p>
      <w:pPr>
        <w:spacing w:after="0" w:line="370" w:lineRule="exact"/>
        <w:rPr>
          <w:sz w:val="20"/>
          <w:szCs w:val="20"/>
          <w:color w:val="auto"/>
        </w:rPr>
      </w:pPr>
    </w:p>
    <w:p>
      <w:pPr>
        <w:ind w:left="300" w:right="1179"/>
        <w:spacing w:after="0" w:line="286" w:lineRule="auto"/>
        <w:rPr>
          <w:sz w:val="20"/>
          <w:szCs w:val="20"/>
          <w:color w:val="auto"/>
        </w:rPr>
      </w:pPr>
      <w:r>
        <w:rPr>
          <w:rFonts w:ascii="Times New Roman" w:cs="Times New Roman" w:eastAsia="Times New Roman" w:hAnsi="Times New Roman"/>
          <w:sz w:val="18"/>
          <w:szCs w:val="18"/>
          <w:b w:val="1"/>
          <w:bCs w:val="1"/>
          <w:color w:val="auto"/>
        </w:rPr>
        <w:t>How much are you offering to pay and what is the form of payment? Will I have to pay any fees or commissions?</w:t>
      </w:r>
    </w:p>
    <w:p>
      <w:pPr>
        <w:spacing w:after="0" w:line="51" w:lineRule="exact"/>
        <w:rPr>
          <w:sz w:val="20"/>
          <w:szCs w:val="20"/>
          <w:color w:val="auto"/>
        </w:rPr>
      </w:pPr>
    </w:p>
    <w:p>
      <w:pPr>
        <w:ind w:left="300" w:right="359" w:firstLine="360"/>
        <w:spacing w:after="0" w:line="256" w:lineRule="auto"/>
        <w:rPr>
          <w:sz w:val="20"/>
          <w:szCs w:val="20"/>
          <w:color w:val="auto"/>
        </w:rPr>
      </w:pPr>
      <w:r>
        <w:rPr>
          <w:rFonts w:ascii="Times New Roman" w:cs="Times New Roman" w:eastAsia="Times New Roman" w:hAnsi="Times New Roman"/>
          <w:sz w:val="18"/>
          <w:szCs w:val="18"/>
          <w:color w:val="auto"/>
        </w:rPr>
        <w:t>We are offering to pay $36.50 per Share, to the seller thereof in cash, net of applicable withholding taxes and without interest. If you are the record owner of your Shares and you directly tender your Shares to us in the Offer, you will not have to pay brokerage fees, commissions or similar expenses. If you own your Shares through a broker, dealer, commercial bank, trust company or other nominee and your broker, dealer, commercial bank, trust company or other nominee tenders your Shares on your behalf, your broker or other nominee may charge you a fee for doing so. You should consult your broker or nominee to determine whether any charges will apply.</w:t>
      </w:r>
    </w:p>
    <w:p>
      <w:pPr>
        <w:spacing w:after="0" w:line="79" w:lineRule="exact"/>
        <w:rPr>
          <w:sz w:val="20"/>
          <w:szCs w:val="20"/>
          <w:color w:val="auto"/>
        </w:rPr>
      </w:pPr>
    </w:p>
    <w:p>
      <w:pPr>
        <w:ind w:left="300" w:right="759" w:firstLine="360"/>
        <w:spacing w:after="0" w:line="282" w:lineRule="auto"/>
        <w:rPr>
          <w:sz w:val="20"/>
          <w:szCs w:val="20"/>
          <w:color w:val="auto"/>
        </w:rPr>
      </w:pPr>
      <w:r>
        <w:rPr>
          <w:rFonts w:ascii="Times New Roman" w:cs="Times New Roman" w:eastAsia="Times New Roman" w:hAnsi="Times New Roman"/>
          <w:sz w:val="18"/>
          <w:szCs w:val="18"/>
          <w:color w:val="auto"/>
        </w:rPr>
        <w:t>See the “Introduction”, Section 1 — “Terms of the Offer” and Section 2 — “Acceptance for Payment and Payment for Shares.”</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Is there an agreement governing the Offer?</w:t>
      </w:r>
    </w:p>
    <w:p>
      <w:pPr>
        <w:spacing w:after="0" w:line="121" w:lineRule="exact"/>
        <w:rPr>
          <w:sz w:val="20"/>
          <w:szCs w:val="20"/>
          <w:color w:val="auto"/>
        </w:rPr>
      </w:pPr>
    </w:p>
    <w:p>
      <w:pPr>
        <w:ind w:left="300" w:right="359" w:firstLine="360"/>
        <w:spacing w:after="0" w:line="255" w:lineRule="auto"/>
        <w:rPr>
          <w:sz w:val="20"/>
          <w:szCs w:val="20"/>
          <w:color w:val="auto"/>
        </w:rPr>
      </w:pPr>
      <w:r>
        <w:rPr>
          <w:rFonts w:ascii="Times New Roman" w:cs="Times New Roman" w:eastAsia="Times New Roman" w:hAnsi="Times New Roman"/>
          <w:sz w:val="18"/>
          <w:szCs w:val="18"/>
          <w:color w:val="auto"/>
        </w:rPr>
        <w:t>Yes. Viatris, Purchaser and Pacira have entered into an Agreement and Plan of Merger, dated October 8, 2026 (as it may be amended from time to time, the “Merger Agreement”). The Merger Agreement provides, among other things, for the terms and conditions of the Offer and the subsequent merger of Purchaser with and into Pacira, with Pacira surviving such merger as a wholly owned subsidiary of Viatris (the “Merger”). If the Minimum Condition (as defined in Section 15 — “Conditions to the Offer”) and the other conditions to the Offer are satisfied or waived and we consummate the Offer, we intend to effect the Merger as soon as practicable pursuant to Section 251(h) of the DGCL without a vote on the adoption of the Merger Agreement by Pacira stockholders.</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Section 11 — “The Transaction Agreements” and Section 15 — “Conditions to the Offer.”</w:t>
      </w:r>
    </w:p>
    <w:p>
      <w:pPr>
        <w:spacing w:after="0" w:line="3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Will you have the financial resources to make payment?</w:t>
      </w:r>
    </w:p>
    <w:p>
      <w:pPr>
        <w:spacing w:after="0" w:line="121"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Yes. Neither the consummation of the Offer nor the Merger is subject to any financing or funding condition. The total amount of funds estimated to be required by Viatris and Purchaser to consummate the Offer and purchase all issued and outstanding Shares in the Offer, to fund the Merger, to fund payments in respect of certain outstanding Pacira Options, Pacira RSUs, Pacira PSUs, Pacira LTIP Awards, and Pacira Restricted Cash Awards (each as defined below) and to make payments, if any, required at the Effective Time in connection with the Convertible Notes, the Capped Call Transactions and the Payoff Amounts (each as defined below) is approximately $554.0 million, excluding related fees and expenses. Viatris and Purchaser anticipate funding such cash requirements from Viatris’ available cash on hand and short-term borrowings.</w:t>
      </w:r>
    </w:p>
    <w:p>
      <w:pPr>
        <w:spacing w:after="0" w:line="1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Section 9 — “Source and Amount of Funds.”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 w:name="page12"/>
    <w:bookmarkEnd w:id="1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Is your financial condition relevant to my decision to tender my Shares in the Offer?</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No. We do not think our financial condition is relevant to your decision whether to tender Shares and accept the</w:t>
      </w:r>
    </w:p>
    <w:p>
      <w:pPr>
        <w:spacing w:after="0" w:line="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Offer because:</w:t>
      </w:r>
    </w:p>
    <w:p>
      <w:pPr>
        <w:spacing w:after="0" w:line="99" w:lineRule="exact"/>
        <w:rPr>
          <w:sz w:val="20"/>
          <w:szCs w:val="20"/>
          <w:color w:val="auto"/>
        </w:rPr>
      </w:pPr>
    </w:p>
    <w:p>
      <w:pPr>
        <w:ind w:left="1000" w:hanging="348"/>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 is being made for all issued and outstanding Shares solely for cash;</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 and the Merger are not subject to any financing or funding condition;</w:t>
      </w:r>
    </w:p>
    <w:p>
      <w:pPr>
        <w:spacing w:after="0" w:line="117" w:lineRule="exact"/>
        <w:rPr>
          <w:rFonts w:ascii="Times New Roman" w:cs="Times New Roman" w:eastAsia="Times New Roman" w:hAnsi="Times New Roman"/>
          <w:sz w:val="18"/>
          <w:szCs w:val="18"/>
          <w:color w:val="auto"/>
        </w:rPr>
      </w:pPr>
    </w:p>
    <w:p>
      <w:pPr>
        <w:ind w:left="1000" w:right="459" w:hanging="348"/>
        <w:spacing w:after="0" w:line="282"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Viatris has cash on hand and access to other financial resources sufficient to purchase all Shares tendered pursuant to the Offer; and</w:t>
      </w:r>
    </w:p>
    <w:p>
      <w:pPr>
        <w:spacing w:after="0" w:line="53" w:lineRule="exact"/>
        <w:rPr>
          <w:rFonts w:ascii="Times New Roman" w:cs="Times New Roman" w:eastAsia="Times New Roman" w:hAnsi="Times New Roman"/>
          <w:sz w:val="18"/>
          <w:szCs w:val="18"/>
          <w:color w:val="auto"/>
        </w:rPr>
      </w:pPr>
    </w:p>
    <w:p>
      <w:pPr>
        <w:ind w:left="1000" w:right="319" w:hanging="348"/>
        <w:spacing w:after="0" w:line="255"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consummate the Offer, we will acquire all remaining Shares for the same cash price in the Merger as was paid in the Offer (i.e., the Offer Price), subject to limited exceptions for Shares held by Pacira stockholders who are entitled to demand and properly exercise and perfect their appraisal rights under Section 262 of the DGCL with respect to such Shares, Shares held by Viatris, Purchaser or any other direct or indirect wholly owned subsidiary of Viatris or Shares held by Pacira or any of its subsidiaries (including in Pacira’s treasury), and Viatris will have cash on hand and access to other financial resources sufficient to pay for all such Shares.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Section 9 — “Source and Amount of Funds.”</w:t>
      </w:r>
    </w:p>
    <w:p>
      <w:pPr>
        <w:spacing w:after="0" w:line="3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Does Viatris or Purchaser already own Shares?</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as of October 23, 2026, neither Viatris nor Purchaser own any Shares.</w:t>
      </w:r>
    </w:p>
    <w:p>
      <w:pPr>
        <w:spacing w:after="0" w:line="3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long do I have to decide whether to tender my Shares in the Offer?</w:t>
      </w:r>
    </w:p>
    <w:p>
      <w:pPr>
        <w:spacing w:after="0" w:line="121" w:lineRule="exact"/>
        <w:rPr>
          <w:sz w:val="20"/>
          <w:szCs w:val="20"/>
          <w:color w:val="auto"/>
        </w:rPr>
      </w:pPr>
    </w:p>
    <w:p>
      <w:pPr>
        <w:ind w:left="300" w:right="359" w:firstLine="360"/>
        <w:spacing w:after="0" w:line="255" w:lineRule="auto"/>
        <w:rPr>
          <w:sz w:val="20"/>
          <w:szCs w:val="20"/>
          <w:color w:val="auto"/>
        </w:rPr>
      </w:pPr>
      <w:r>
        <w:rPr>
          <w:rFonts w:ascii="Times New Roman" w:cs="Times New Roman" w:eastAsia="Times New Roman" w:hAnsi="Times New Roman"/>
          <w:sz w:val="18"/>
          <w:szCs w:val="18"/>
          <w:color w:val="auto"/>
        </w:rPr>
        <w:t>You will have until one minute after 11:59 p.m., Eastern Time, on November 16, 2026, unless we extend the Offer pursuant to the Merger Agreement (such date and time, as it may be extended in accordance with the terms of the Merger Agreement, the “Expiration Date”) or the Offer is earlier terminated pursuant to, and in accordance with, the Merger Agreement. If you hold Shares registered in the name of a broker, dealer, commercial bank, trust company or other nominee, you should be aware that such institutions may establish their own earlier deadline for tendering Shares in the Offer. Please give your broker, dealer, commercial bank, trust company or other nominee instructions with sufficient time to permit such nominee to tender your Shares by the Expiration Date.</w:t>
      </w:r>
    </w:p>
    <w:p>
      <w:pPr>
        <w:spacing w:after="0" w:line="81" w:lineRule="exact"/>
        <w:rPr>
          <w:sz w:val="20"/>
          <w:szCs w:val="20"/>
          <w:color w:val="auto"/>
        </w:rPr>
      </w:pPr>
    </w:p>
    <w:p>
      <w:pPr>
        <w:ind w:left="300" w:right="339" w:firstLine="360"/>
        <w:spacing w:after="0" w:line="266" w:lineRule="auto"/>
        <w:rPr>
          <w:sz w:val="20"/>
          <w:szCs w:val="20"/>
          <w:color w:val="auto"/>
        </w:rPr>
      </w:pPr>
      <w:r>
        <w:rPr>
          <w:rFonts w:ascii="Times New Roman" w:cs="Times New Roman" w:eastAsia="Times New Roman" w:hAnsi="Times New Roman"/>
          <w:sz w:val="18"/>
          <w:szCs w:val="18"/>
          <w:color w:val="auto"/>
        </w:rPr>
        <w:t>The time of acceptance for payment of all Shares validly tendered (and not validly withdrawn) in the Offer pursuant to and subject to the conditions of the Offer is referred to as the “Offer Acceptance Time”, and the date and time at which such Offer Acceptance Time occurs is referred to as the “Offer Closing.”</w:t>
      </w:r>
    </w:p>
    <w:p>
      <w:pPr>
        <w:spacing w:after="0" w:line="68" w:lineRule="exact"/>
        <w:rPr>
          <w:sz w:val="20"/>
          <w:szCs w:val="20"/>
          <w:color w:val="auto"/>
        </w:rPr>
      </w:pPr>
    </w:p>
    <w:p>
      <w:pPr>
        <w:ind w:left="300" w:right="639" w:firstLine="360"/>
        <w:spacing w:after="0" w:line="312" w:lineRule="auto"/>
        <w:rPr>
          <w:sz w:val="20"/>
          <w:szCs w:val="20"/>
          <w:color w:val="auto"/>
        </w:rPr>
      </w:pPr>
      <w:r>
        <w:rPr>
          <w:rFonts w:ascii="Times New Roman" w:cs="Times New Roman" w:eastAsia="Times New Roman" w:hAnsi="Times New Roman"/>
          <w:sz w:val="17"/>
          <w:szCs w:val="17"/>
          <w:color w:val="auto"/>
        </w:rPr>
        <w:t>See Section 1 — “Terms of the Offer” and Section 3 — “Procedures for Accepting the Offer and Tendering Shares.” The date and time at which the Merger becomes effective is referred to as the “Effective Time”.</w:t>
      </w:r>
    </w:p>
    <w:p>
      <w:pPr>
        <w:spacing w:after="0" w:line="2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Can the Offer be extended and under what circumstances?</w:t>
      </w:r>
    </w:p>
    <w:p>
      <w:pPr>
        <w:spacing w:after="0" w:line="121" w:lineRule="exact"/>
        <w:rPr>
          <w:sz w:val="20"/>
          <w:szCs w:val="20"/>
          <w:color w:val="auto"/>
        </w:rPr>
      </w:pPr>
    </w:p>
    <w:p>
      <w:pPr>
        <w:ind w:left="300" w:right="499" w:firstLine="360"/>
        <w:spacing w:after="0" w:line="255" w:lineRule="auto"/>
        <w:rPr>
          <w:sz w:val="20"/>
          <w:szCs w:val="20"/>
          <w:color w:val="auto"/>
        </w:rPr>
      </w:pPr>
      <w:r>
        <w:rPr>
          <w:rFonts w:ascii="Times New Roman" w:cs="Times New Roman" w:eastAsia="Times New Roman" w:hAnsi="Times New Roman"/>
          <w:sz w:val="18"/>
          <w:szCs w:val="18"/>
          <w:color w:val="auto"/>
        </w:rPr>
        <w:t>Yes, the Offer and the Expiration Date can be extended in accordance with the Merger Agreement. Subject to the parties’ respective rights to terminate the Merger Agreement in accordance with its terms, if, as of the then-scheduled Expiration Date, any Offer Condition (as defined below) is not satisfied and has not been waived, Purchaser may, in its discretion, extend the Offer on one or more occasions, for an additional period of up to</w:t>
      </w:r>
    </w:p>
    <w:p>
      <w:pPr>
        <w:spacing w:after="0" w:line="3" w:lineRule="exact"/>
        <w:rPr>
          <w:sz w:val="20"/>
          <w:szCs w:val="20"/>
          <w:color w:val="auto"/>
        </w:rPr>
      </w:pPr>
    </w:p>
    <w:p>
      <w:pPr>
        <w:ind w:left="300" w:right="459"/>
        <w:spacing w:after="0" w:line="265" w:lineRule="auto"/>
        <w:rPr>
          <w:sz w:val="20"/>
          <w:szCs w:val="20"/>
          <w:color w:val="auto"/>
        </w:rPr>
      </w:pPr>
      <w:r>
        <w:rPr>
          <w:rFonts w:ascii="Times New Roman" w:cs="Times New Roman" w:eastAsia="Times New Roman" w:hAnsi="Times New Roman"/>
          <w:sz w:val="17"/>
          <w:szCs w:val="17"/>
          <w:color w:val="auto"/>
        </w:rPr>
        <w:t>ten (10) Business Days (as defined below) per extension, to permit such Offer Condition to be satisfied. In certain circumstances, we are required by the terms of the Merger Agreement to extend the Offer beyond the initial Expiration Date. Subject to our rights to terminate the Merger Agreement in accordance with its terms, we must extend the Offer from time to time for (i) any period to the minimum extent required by any law, any interpretation or position of the SEC, the staff thereof or the Nasdaq Global Select Market applicable to the Offer, (ii) periods of up to ten (10) Business Days per extension, until any waiting period (and any extension thereof) applicable to the consummation of the Offer under the Hart-Scott-Rodino Antitrust Improvements Act of 1976, as amended (the “HSR Act”), shall have expired or been terminated and (iii) additional periods specified by Pacira of up to</w:t>
      </w:r>
    </w:p>
    <w:p>
      <w:pPr>
        <w:spacing w:after="0" w:line="1" w:lineRule="exact"/>
        <w:rPr>
          <w:sz w:val="20"/>
          <w:szCs w:val="20"/>
          <w:color w:val="auto"/>
        </w:rPr>
      </w:pPr>
    </w:p>
    <w:p>
      <w:pPr>
        <w:ind w:left="300" w:right="399"/>
        <w:spacing w:after="0" w:line="273" w:lineRule="auto"/>
        <w:rPr>
          <w:sz w:val="20"/>
          <w:szCs w:val="20"/>
          <w:color w:val="auto"/>
        </w:rPr>
      </w:pPr>
      <w:r>
        <w:rPr>
          <w:rFonts w:ascii="Times New Roman" w:cs="Times New Roman" w:eastAsia="Times New Roman" w:hAnsi="Times New Roman"/>
          <w:sz w:val="17"/>
          <w:szCs w:val="17"/>
          <w:color w:val="auto"/>
        </w:rPr>
        <w:t>ten (10) Business Days per extension if, as of the then-scheduled Expiration Date, any Offer Condition is not satisfied and has not been waived and Pacira requests that the Offer be extended to permit satisfaction of such Offer Condition(s), provided that, solely to the extent the Minimum Condition is the only Offer Condition (other than the Officer’s Certificate Condition (as defined below)) that is not satisfied or waived, Purchaser will not be required to</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 w:name="page13"/>
    <w:bookmarkEnd w:id="1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spacing w:after="0" w:line="255" w:lineRule="auto"/>
        <w:rPr>
          <w:sz w:val="20"/>
          <w:szCs w:val="20"/>
          <w:color w:val="auto"/>
        </w:rPr>
      </w:pPr>
      <w:r>
        <w:rPr>
          <w:rFonts w:ascii="Times New Roman" w:cs="Times New Roman" w:eastAsia="Times New Roman" w:hAnsi="Times New Roman"/>
          <w:sz w:val="18"/>
          <w:szCs w:val="18"/>
          <w:color w:val="auto"/>
        </w:rPr>
        <w:t>extend the Offer pursuant to this clause (iii) on more than two (2) occasions. However, in no event will Purchaser be required to, and without Pacira’s consent, Purchaser will not be permitted to, extend the Offer beyond the earlier of the termination of the Merger Agreement in accordance with its terms and the first (1st) Business Day immediately following midnight, Eastern Time, on April 8, 2027 (subject to extension, as described below, the “End Date”). If we extend the Offer, such extension will extend the time that you will have to tender (or withdraw) your Shares. “Business Day” means a day except a Saturday, a Sunday or other day on which banks in the City of New York are authorized or required by law to be closed.</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Section 1 — “Terms of the Offer” for more details on our obligation and ability to extend the Offer.</w:t>
      </w:r>
    </w:p>
    <w:p>
      <w:pPr>
        <w:spacing w:after="0" w:line="3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will I be notified if the Offer is extended?</w:t>
      </w:r>
    </w:p>
    <w:p>
      <w:pPr>
        <w:spacing w:after="0" w:line="121" w:lineRule="exact"/>
        <w:rPr>
          <w:sz w:val="20"/>
          <w:szCs w:val="20"/>
          <w:color w:val="auto"/>
        </w:rPr>
      </w:pPr>
    </w:p>
    <w:p>
      <w:pPr>
        <w:ind w:left="300" w:right="379" w:firstLine="360"/>
        <w:spacing w:after="0" w:line="266" w:lineRule="auto"/>
        <w:rPr>
          <w:sz w:val="20"/>
          <w:szCs w:val="20"/>
          <w:color w:val="auto"/>
        </w:rPr>
      </w:pPr>
      <w:r>
        <w:rPr>
          <w:rFonts w:ascii="Times New Roman" w:cs="Times New Roman" w:eastAsia="Times New Roman" w:hAnsi="Times New Roman"/>
          <w:sz w:val="18"/>
          <w:szCs w:val="18"/>
          <w:color w:val="auto"/>
        </w:rPr>
        <w:t>If we extend the Offer, we will inform Equiniti Trust Company, LLC, which is the depositary and paying agent for the Offer (the “Depositary”), of any extension and will make a public announcement of the extension no later than 9:00 a.m., Eastern Time, on the next Business Day after the previously scheduled Expiration Date.</w:t>
      </w:r>
    </w:p>
    <w:p>
      <w:pPr>
        <w:spacing w:after="0" w:line="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Section 1 — “Terms of the Offer.”</w:t>
      </w:r>
    </w:p>
    <w:p>
      <w:pPr>
        <w:spacing w:after="0" w:line="3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are the most significant conditions to the Offer?</w:t>
      </w:r>
    </w:p>
    <w:p>
      <w:pPr>
        <w:spacing w:after="0" w:line="121" w:lineRule="exact"/>
        <w:rPr>
          <w:sz w:val="20"/>
          <w:szCs w:val="20"/>
          <w:color w:val="auto"/>
        </w:rPr>
      </w:pPr>
    </w:p>
    <w:p>
      <w:pPr>
        <w:ind w:left="300" w:right="779" w:firstLine="360"/>
        <w:spacing w:after="0" w:line="282" w:lineRule="auto"/>
        <w:rPr>
          <w:sz w:val="20"/>
          <w:szCs w:val="20"/>
          <w:color w:val="auto"/>
        </w:rPr>
      </w:pPr>
      <w:r>
        <w:rPr>
          <w:rFonts w:ascii="Times New Roman" w:cs="Times New Roman" w:eastAsia="Times New Roman" w:hAnsi="Times New Roman"/>
          <w:sz w:val="18"/>
          <w:szCs w:val="18"/>
          <w:color w:val="auto"/>
        </w:rPr>
        <w:t>The Offer is conditioned upon the satisfaction or waiver (to the extent permitted by applicable law) of the following conditions (collectively, the “Offer Conditions”):</w:t>
      </w:r>
    </w:p>
    <w:p>
      <w:pPr>
        <w:spacing w:after="0" w:line="54" w:lineRule="exact"/>
        <w:rPr>
          <w:sz w:val="20"/>
          <w:szCs w:val="20"/>
          <w:color w:val="auto"/>
        </w:rPr>
      </w:pPr>
    </w:p>
    <w:p>
      <w:pPr>
        <w:ind w:left="1000" w:right="439" w:hanging="348"/>
        <w:spacing w:after="0" w:line="256"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number of Shares validly tendered (and not properly withdrawn) prior to the time that the Offer expires (but excluding Shares tendered pursuant to guaranteed delivery procedures that have not yet been “received,” as defined by Section 251(h)(6)(f) of the DGCL, by the “depository,” as defined in Section 251(h)(6)(c) of the DGCL), together with the Shares then owned by Purchaser and its affiliates, represents at least one Share more than 50% of the then issued and outstanding Shares (the “Minimum Condition”);</w:t>
      </w:r>
    </w:p>
    <w:p>
      <w:pPr>
        <w:spacing w:after="0" w:line="79" w:lineRule="exact"/>
        <w:rPr>
          <w:rFonts w:ascii="Times New Roman" w:cs="Times New Roman" w:eastAsia="Times New Roman" w:hAnsi="Times New Roman"/>
          <w:sz w:val="18"/>
          <w:szCs w:val="18"/>
          <w:color w:val="auto"/>
        </w:rPr>
      </w:pPr>
    </w:p>
    <w:p>
      <w:pPr>
        <w:ind w:left="1000" w:right="539" w:hanging="348"/>
        <w:spacing w:after="0" w:line="261"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the representations and warranties made by Pacira in the Merger Agreement at and as of the Offer Acceptance Time, subject to the materiality thresholds and other qualifications set forth in the Merger Agreement, as described in more detail in Section 15 — “Conditions to the Offer” (the “Representations Condition”);</w:t>
      </w:r>
    </w:p>
    <w:p>
      <w:pPr>
        <w:spacing w:after="0" w:line="71" w:lineRule="exact"/>
        <w:rPr>
          <w:rFonts w:ascii="Times New Roman" w:cs="Times New Roman" w:eastAsia="Times New Roman" w:hAnsi="Times New Roman"/>
          <w:sz w:val="18"/>
          <w:szCs w:val="18"/>
          <w:color w:val="auto"/>
        </w:rPr>
      </w:pPr>
    </w:p>
    <w:p>
      <w:pPr>
        <w:ind w:left="1000" w:right="379" w:hanging="348"/>
        <w:spacing w:after="0" w:line="266"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compliance and performance of Pacira in all material respects with all of its covenants and agreements required to be complied with or performed by it under the Merger Agreement at or prior to the Offer Acceptance Time (the “Covenants Condition”);</w:t>
      </w:r>
    </w:p>
    <w:p>
      <w:pPr>
        <w:spacing w:after="0" w:line="67" w:lineRule="exact"/>
        <w:rPr>
          <w:rFonts w:ascii="Times New Roman" w:cs="Times New Roman" w:eastAsia="Times New Roman" w:hAnsi="Times New Roman"/>
          <w:sz w:val="18"/>
          <w:szCs w:val="18"/>
          <w:color w:val="auto"/>
        </w:rPr>
      </w:pPr>
    </w:p>
    <w:p>
      <w:pPr>
        <w:ind w:left="1000" w:right="399" w:hanging="348"/>
        <w:spacing w:after="0" w:line="261"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since October 8, 2026, there has not been any Material Adverse Effect (as such term is defined in the Merger Agreement and as described in more detail in Section 11 — “The Transaction Agreements — The Merger Agreement — Representations and Warranties”) that is continuing as of the Offer Acceptance Time (the “MAE Condition”);</w:t>
      </w:r>
    </w:p>
    <w:p>
      <w:pPr>
        <w:spacing w:after="0" w:line="71" w:lineRule="exact"/>
        <w:rPr>
          <w:rFonts w:ascii="Times New Roman" w:cs="Times New Roman" w:eastAsia="Times New Roman" w:hAnsi="Times New Roman"/>
          <w:sz w:val="18"/>
          <w:szCs w:val="18"/>
          <w:color w:val="auto"/>
        </w:rPr>
      </w:pPr>
    </w:p>
    <w:p>
      <w:pPr>
        <w:ind w:left="1000" w:right="359" w:hanging="348"/>
        <w:spacing w:after="0" w:line="261"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waiting period (or any extension thereof) applicable to the Offer under the HSR Act shall have expired or been terminated and any timing agreement with any governmental body applicable to the Offer or the Merger shall have expired or otherwise ceased to restrict the consummation of the Offer and the Merger (the “Regulatory Condition”);</w:t>
      </w:r>
    </w:p>
    <w:p>
      <w:pPr>
        <w:spacing w:after="0" w:line="71" w:lineRule="exact"/>
        <w:rPr>
          <w:rFonts w:ascii="Times New Roman" w:cs="Times New Roman" w:eastAsia="Times New Roman" w:hAnsi="Times New Roman"/>
          <w:sz w:val="18"/>
          <w:szCs w:val="18"/>
          <w:color w:val="auto"/>
        </w:rPr>
      </w:pPr>
    </w:p>
    <w:p>
      <w:pPr>
        <w:jc w:val="both"/>
        <w:ind w:left="1000" w:right="499" w:hanging="348"/>
        <w:spacing w:after="0" w:line="266"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Viatris and Purchaser have received a certificate, executed by the chief executive officer or the chief financial officer of Pacira, to the effect that the Representations Condition, the Covenants Condition and the MAE Condition have been duly satisfied (the “Officer’s Certificate Condition”);</w:t>
      </w:r>
    </w:p>
    <w:p>
      <w:pPr>
        <w:spacing w:after="0" w:line="67" w:lineRule="exact"/>
        <w:rPr>
          <w:rFonts w:ascii="Times New Roman" w:cs="Times New Roman" w:eastAsia="Times New Roman" w:hAnsi="Times New Roman"/>
          <w:sz w:val="18"/>
          <w:szCs w:val="18"/>
          <w:color w:val="auto"/>
        </w:rPr>
      </w:pPr>
    </w:p>
    <w:p>
      <w:pPr>
        <w:ind w:left="1000" w:right="379" w:hanging="348"/>
        <w:spacing w:after="0" w:line="258"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there is no law (other than any antitrust law) or Order promulgated, entered, enforced, enacted, issued or deemed applicable by any court or other governmental body of competent jurisdiction (any such law or Order, a “Legal Restraint”) in effect that directly or indirectly enjoins, restrains or otherwise prohibits, or makes illegal, the acquisition of or payment for Shares pursuant to the Offer, or the consummation of the Merger (the “Non-Prohibition Condition”);</w:t>
      </w:r>
    </w:p>
    <w:p>
      <w:pPr>
        <w:spacing w:after="0" w:line="75" w:lineRule="exact"/>
        <w:rPr>
          <w:rFonts w:ascii="Times New Roman" w:cs="Times New Roman" w:eastAsia="Times New Roman" w:hAnsi="Times New Roman"/>
          <w:sz w:val="18"/>
          <w:szCs w:val="18"/>
          <w:color w:val="auto"/>
        </w:rPr>
      </w:pPr>
    </w:p>
    <w:p>
      <w:pPr>
        <w:jc w:val="both"/>
        <w:ind w:left="1000" w:right="399" w:hanging="348"/>
        <w:spacing w:after="0" w:line="282"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there is no Legal Restraint in effect imposing a Burdensome Condition (as such term is defined in the Merger Agreement and as described in more detail in Section 11 — “The Transaction Agreements”), and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 w:name="page14"/>
    <w:bookmarkEnd w:id="1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20" w:right="339"/>
        <w:spacing w:after="0" w:line="261" w:lineRule="auto"/>
        <w:rPr>
          <w:sz w:val="20"/>
          <w:szCs w:val="20"/>
          <w:color w:val="auto"/>
        </w:rPr>
      </w:pPr>
      <w:r>
        <w:rPr>
          <w:rFonts w:ascii="Times New Roman" w:cs="Times New Roman" w:eastAsia="Times New Roman" w:hAnsi="Times New Roman"/>
          <w:sz w:val="18"/>
          <w:szCs w:val="18"/>
          <w:color w:val="auto"/>
        </w:rPr>
        <w:t>that there is no pending action, suit, charge, complaint, litigation or arbitration brought by any governmental body of competent jurisdiction seeking a Legal Restraint prohibiting, or making illegal, any of the transactions contemplated by the Merger Agreement or seeking to impose a Burdensome Condition; and</w:t>
      </w:r>
    </w:p>
    <w:p>
      <w:pPr>
        <w:spacing w:after="0" w:line="72" w:lineRule="exact"/>
        <w:rPr>
          <w:sz w:val="20"/>
          <w:szCs w:val="20"/>
          <w:color w:val="auto"/>
        </w:rPr>
      </w:pPr>
    </w:p>
    <w:p>
      <w:pPr>
        <w:ind w:left="1000" w:right="919" w:hanging="348"/>
        <w:spacing w:after="0" w:line="282"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Merger Agreement has not been terminated in accordance with its terms (the “Termination Condition”).</w:t>
      </w:r>
    </w:p>
    <w:p>
      <w:pPr>
        <w:spacing w:after="0" w:line="54" w:lineRule="exact"/>
        <w:rPr>
          <w:sz w:val="20"/>
          <w:szCs w:val="20"/>
          <w:color w:val="auto"/>
        </w:rPr>
      </w:pPr>
    </w:p>
    <w:p>
      <w:pPr>
        <w:jc w:val="both"/>
        <w:ind w:left="300" w:right="859" w:firstLine="360"/>
        <w:spacing w:after="0" w:line="312" w:lineRule="auto"/>
        <w:rPr>
          <w:sz w:val="20"/>
          <w:szCs w:val="20"/>
          <w:color w:val="auto"/>
        </w:rPr>
      </w:pPr>
      <w:r>
        <w:rPr>
          <w:rFonts w:ascii="Times New Roman" w:cs="Times New Roman" w:eastAsia="Times New Roman" w:hAnsi="Times New Roman"/>
          <w:sz w:val="17"/>
          <w:szCs w:val="17"/>
          <w:color w:val="auto"/>
        </w:rPr>
        <w:t>The foregoing conditions are in addition to, and not a limitation of, the rights of Viatris and Purchaser to extend, terminate, amend and/or modify the Offer pursuant to and in accordance with the Merger Agreement.</w:t>
      </w:r>
    </w:p>
    <w:p>
      <w:pPr>
        <w:spacing w:after="0" w:line="32"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Purchaser expressly reserves the right to increase the Offer Price or to waive or make any other changes to the terms and conditions of the Offer, including the Offer Conditions, that are not inconsistent with the terms of the Merger Agreement. However, unless otherwise provided by the Merger Agreement, without the prior written consent of Pacira, we are not permitted to (i) decrease the Offer Price, (ii) change the form of consideration payable in the Offer, (iii) decrease the maximum number of Shares sought to be purchased in the Offer, (iv) impose conditions to the Offer in addition to the Offer Conditions, (v) amend or modify any of the Offer Conditions in a manner that adversely affects, or would reasonably be expected to adversely affect, any holder of Shares or that would, individually or in the aggregate, reasonably be expected to prevent, materially delay or materially impair the consummation of the Offer or the Merger, (vi) amend, modify, change or waive the Minimum Condition, the Termination Condition or the Non-Prohibition Condition, (vii) terminate the Offer or accelerate, extend or otherwise change the Expiration Date in a manner other than in accordance with the relevant provisions of the Merger Agreement or (viii) provide any “subsequent offering period” within the meaning of Rule 14d-11 promulgated under the Exchange Act.</w:t>
      </w:r>
    </w:p>
    <w:p>
      <w:pPr>
        <w:spacing w:after="0" w:line="1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Section 15 — “Conditions to the Offer.”</w:t>
      </w:r>
    </w:p>
    <w:p>
      <w:pPr>
        <w:spacing w:after="0" w:line="3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do I tender my Shares?</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order for Shares to be validly tendered pursuant to the Offer, you must follow these instructions:</w:t>
      </w:r>
    </w:p>
    <w:p>
      <w:pPr>
        <w:spacing w:after="0" w:line="117" w:lineRule="exact"/>
        <w:rPr>
          <w:sz w:val="20"/>
          <w:szCs w:val="20"/>
          <w:color w:val="auto"/>
        </w:rPr>
      </w:pPr>
    </w:p>
    <w:p>
      <w:pPr>
        <w:ind w:left="1000" w:right="379" w:hanging="348"/>
        <w:spacing w:after="0" w:line="258" w:lineRule="auto"/>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a record holder and you have certificated Shares, the following must be received by the Depositary at one of its addresses set forth in the Letter of Transmittal before the Offer expires: (1) the Letter of Transmittal, properly completed and duly executed, (2) share certificates evidencing such Shares (“Share Certificates”), in proper form for transfer, and (3) any other documents required by the Letter of Transmittal.</w:t>
      </w:r>
    </w:p>
    <w:p>
      <w:pPr>
        <w:spacing w:after="0" w:line="75" w:lineRule="exact"/>
        <w:rPr>
          <w:rFonts w:ascii="Times New Roman" w:cs="Times New Roman" w:eastAsia="Times New Roman" w:hAnsi="Times New Roman"/>
          <w:sz w:val="18"/>
          <w:szCs w:val="18"/>
          <w:color w:val="auto"/>
        </w:rPr>
      </w:pPr>
    </w:p>
    <w:p>
      <w:pPr>
        <w:ind w:left="1000" w:right="419" w:hanging="348"/>
        <w:spacing w:after="0" w:line="261" w:lineRule="auto"/>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a record holder and you hold uncertificated Shares in book-entry form with Pacira’s transfer agent, the following must be received by the Depositary at one of its addresses set forth in the Letter of Transmittal before the Offer expires: (1) the Letter of Transmittal, properly completed and duly executed, and (2) any other documents required by the Letter of Transmittal.</w:t>
      </w:r>
    </w:p>
    <w:p>
      <w:pPr>
        <w:spacing w:after="0" w:line="71" w:lineRule="exact"/>
        <w:rPr>
          <w:rFonts w:ascii="Times New Roman" w:cs="Times New Roman" w:eastAsia="Times New Roman" w:hAnsi="Times New Roman"/>
          <w:sz w:val="18"/>
          <w:szCs w:val="18"/>
          <w:color w:val="auto"/>
        </w:rPr>
      </w:pPr>
    </w:p>
    <w:p>
      <w:pPr>
        <w:ind w:left="1000" w:right="379" w:hanging="348"/>
        <w:spacing w:after="0" w:line="256" w:lineRule="auto"/>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your Shares are held in “street” name and are being tendered by book-entry transfer, the following must be received by the Depositary at one of its addresses set forth in the Letter of Transmittal before the Offer expires: (1) a Book-Entry Confirmation (as defined under Section 2 — “Acceptance for Payment and Payment for Shares”), (2) the Letter of Transmittal, properly completed and duly executed, or an Agent’s Message (as defined under Section 2 — “Acceptance for Payment and Payment for Shares”) and (3) any other documents required by the Letter of Transmittal.</w:t>
      </w:r>
    </w:p>
    <w:p>
      <w:pPr>
        <w:spacing w:after="0" w:line="79" w:lineRule="exact"/>
        <w:rPr>
          <w:rFonts w:ascii="Times New Roman" w:cs="Times New Roman" w:eastAsia="Times New Roman" w:hAnsi="Times New Roman"/>
          <w:sz w:val="18"/>
          <w:szCs w:val="18"/>
          <w:color w:val="auto"/>
        </w:rPr>
      </w:pPr>
    </w:p>
    <w:p>
      <w:pPr>
        <w:ind w:left="1000" w:right="319" w:hanging="348"/>
        <w:spacing w:after="0" w:line="258" w:lineRule="auto"/>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your Share Certificates are not immediately available, or you cannot complete the procedure for delivery by book-entry transfer on a timely basis, or you otherwise cannot deliver all required documents to the Depositary before the Offer expires, you may be able to tender your Shares using the enclosed Notice of Guaranteed Delivery (as defined below). Please contact Innisfree M&amp;A Incorporated (the “Information Agent”) for assistance.</w:t>
      </w:r>
    </w:p>
    <w:p>
      <w:pPr>
        <w:spacing w:after="0" w:line="75" w:lineRule="exact"/>
        <w:rPr>
          <w:rFonts w:ascii="Times New Roman" w:cs="Times New Roman" w:eastAsia="Times New Roman" w:hAnsi="Times New Roman"/>
          <w:sz w:val="18"/>
          <w:szCs w:val="18"/>
          <w:color w:val="auto"/>
        </w:rPr>
      </w:pPr>
    </w:p>
    <w:p>
      <w:pPr>
        <w:jc w:val="both"/>
        <w:ind w:left="1000" w:right="459" w:hanging="348"/>
        <w:spacing w:after="0" w:line="266" w:lineRule="auto"/>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hold Shares through a broker, dealer, commercial bank, trust company or other nominee, you must contact your broker, dealer, commercial bank, trust company or other nominee and give instructions that your Shares be tendered.</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Section 3 — “Procedures for Accepting the Offer and Tendering Shares.”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 w:name="page15"/>
    <w:bookmarkEnd w:id="1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If I accept the Offer, how will I get paid?</w:t>
      </w:r>
    </w:p>
    <w:p>
      <w:pPr>
        <w:spacing w:after="0" w:line="121" w:lineRule="exact"/>
        <w:rPr>
          <w:sz w:val="20"/>
          <w:szCs w:val="20"/>
          <w:color w:val="auto"/>
        </w:rPr>
      </w:pPr>
    </w:p>
    <w:p>
      <w:pPr>
        <w:ind w:left="300" w:right="359" w:firstLine="360"/>
        <w:spacing w:after="0" w:line="261" w:lineRule="auto"/>
        <w:rPr>
          <w:sz w:val="20"/>
          <w:szCs w:val="20"/>
          <w:color w:val="auto"/>
        </w:rPr>
      </w:pPr>
      <w:r>
        <w:rPr>
          <w:rFonts w:ascii="Times New Roman" w:cs="Times New Roman" w:eastAsia="Times New Roman" w:hAnsi="Times New Roman"/>
          <w:sz w:val="18"/>
          <w:szCs w:val="18"/>
          <w:color w:val="auto"/>
        </w:rPr>
        <w:t>Upon the terms set forth in the Merger Agreement and subject to the Offer Conditions, payment for Shares accepted for payment pursuant to the Offer will be made by deposit of the Offer Price for such Shares with the Depositary, which will act as agent for tendering stockholders for the purpose of receiving payments from Purchaser and transmitting such payments to tendering stockholders whose Shares have been accepted for payment.</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Section 3 — “Procedures for Accepting the Offer and Tendering Shares.”</w:t>
      </w:r>
    </w:p>
    <w:p>
      <w:pPr>
        <w:spacing w:after="0" w:line="34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Until what time may I withdraw previously tendered Shares?</w:t>
      </w:r>
    </w:p>
    <w:p>
      <w:pPr>
        <w:spacing w:after="0" w:line="121" w:lineRule="exact"/>
        <w:rPr>
          <w:sz w:val="20"/>
          <w:szCs w:val="20"/>
          <w:color w:val="auto"/>
        </w:rPr>
      </w:pPr>
    </w:p>
    <w:p>
      <w:pPr>
        <w:ind w:left="300" w:right="359" w:firstLine="360"/>
        <w:spacing w:after="0" w:line="261" w:lineRule="auto"/>
        <w:rPr>
          <w:sz w:val="20"/>
          <w:szCs w:val="20"/>
          <w:color w:val="auto"/>
        </w:rPr>
      </w:pPr>
      <w:r>
        <w:rPr>
          <w:rFonts w:ascii="Times New Roman" w:cs="Times New Roman" w:eastAsia="Times New Roman" w:hAnsi="Times New Roman"/>
          <w:sz w:val="18"/>
          <w:szCs w:val="18"/>
          <w:color w:val="auto"/>
        </w:rPr>
        <w:t>You may withdraw your previously tendered Shares at any time prior to one minute after 11:59 p.m., Eastern Time, on the Expiration Date. Pursuant to Section 14(d)(5) of the Exchange Act, Shares may also be withdrawn at any time after December 29, 2026, which is the 60th day after the date of commencement of the Offer, unless prior to that date Purchaser has accepted for payment the Shares validly tendered in the Offer.</w:t>
      </w:r>
    </w:p>
    <w:p>
      <w:pPr>
        <w:spacing w:after="0" w:line="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Section 4 — “Withdrawal Rights.”</w:t>
      </w:r>
    </w:p>
    <w:p>
      <w:pPr>
        <w:spacing w:after="0" w:line="34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Will there be a subsequent offering period?</w:t>
      </w:r>
    </w:p>
    <w:p>
      <w:pPr>
        <w:spacing w:after="0" w:line="121" w:lineRule="exact"/>
        <w:rPr>
          <w:sz w:val="20"/>
          <w:szCs w:val="20"/>
          <w:color w:val="auto"/>
        </w:rPr>
      </w:pPr>
    </w:p>
    <w:p>
      <w:pPr>
        <w:ind w:left="300" w:right="339" w:firstLine="360"/>
        <w:spacing w:after="0" w:line="256" w:lineRule="auto"/>
        <w:rPr>
          <w:sz w:val="20"/>
          <w:szCs w:val="20"/>
          <w:color w:val="auto"/>
        </w:rPr>
      </w:pPr>
      <w:r>
        <w:rPr>
          <w:rFonts w:ascii="Times New Roman" w:cs="Times New Roman" w:eastAsia="Times New Roman" w:hAnsi="Times New Roman"/>
          <w:sz w:val="18"/>
          <w:szCs w:val="18"/>
          <w:color w:val="auto"/>
        </w:rPr>
        <w:t>No. Pursuant to Section 251(h) of the DGCL and the obligations of Viatris, Purchaser and Pacira pursuant to the Merger Agreement to cause the Merger to become effective as soon as practicable following the consummation of the Offer, without a meeting of Pacira’s stockholders, we expect the Merger to occur following the consummation of the Offer without a subsequent offering period. The Merger Agreement prohibits Purchaser from providing any “subsequent offering period” within the meaning of Rule 14d-11 promulgated under the Exchange Act without Pacira’s prior written consent.</w:t>
      </w:r>
    </w:p>
    <w:p>
      <w:pPr>
        <w:spacing w:after="0" w:line="30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do I withdraw previously tendered Shares?</w:t>
      </w:r>
    </w:p>
    <w:p>
      <w:pPr>
        <w:spacing w:after="0" w:line="121" w:lineRule="exact"/>
        <w:rPr>
          <w:sz w:val="20"/>
          <w:szCs w:val="20"/>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color w:val="auto"/>
        </w:rPr>
        <w:t>To withdraw previously tendered Shares, you must deliver a written notice of withdrawal, or a facsimile of one, with the required information to the Depositary while you still have the right to withdraw Shares. If you tendered Shares by giving instructions to a broker, dealer, commercial bank, trust company or other nominee, you must instruct the broker, dealer, commercial bank, trust company or other nominee to arrange for the withdrawal of your Shares.</w:t>
      </w:r>
    </w:p>
    <w:p>
      <w:pPr>
        <w:spacing w:after="0" w:line="1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Section 4 —“Withdrawal Rights.”</w:t>
      </w:r>
    </w:p>
    <w:p>
      <w:pPr>
        <w:spacing w:after="0" w:line="34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does the Pacira board of directors think of the Offer?</w:t>
      </w:r>
    </w:p>
    <w:p>
      <w:pPr>
        <w:spacing w:after="0" w:line="121" w:lineRule="exact"/>
        <w:rPr>
          <w:sz w:val="20"/>
          <w:szCs w:val="20"/>
          <w:color w:val="auto"/>
        </w:rPr>
      </w:pPr>
    </w:p>
    <w:p>
      <w:pPr>
        <w:ind w:left="300" w:right="459" w:firstLine="360"/>
        <w:spacing w:after="0" w:line="256" w:lineRule="auto"/>
        <w:rPr>
          <w:sz w:val="20"/>
          <w:szCs w:val="20"/>
          <w:color w:val="auto"/>
        </w:rPr>
      </w:pPr>
      <w:r>
        <w:rPr>
          <w:rFonts w:ascii="Times New Roman" w:cs="Times New Roman" w:eastAsia="Times New Roman" w:hAnsi="Times New Roman"/>
          <w:sz w:val="18"/>
          <w:szCs w:val="18"/>
          <w:color w:val="auto"/>
        </w:rPr>
        <w:t>The Pacira Board has unanimously (i) determined that the Merger Agreement and the Transactions are fair to, and in the best interest of, Pacira and its stockholders, and declared it advisable for Pacira to enter into the Merger Agreement and consummate the Transactions, (ii) approved the execution, delivery and performance by Pacira of the Merger Agreement and the consummation of the Transactions, (iii) resolved that the Merger will be effected under Section 251(h) of the DGCL and (iv) resolved to recommend that the stockholders of Pacira tender their Shares to Purchaser pursuant to the Offer.</w:t>
      </w:r>
    </w:p>
    <w:p>
      <w:pPr>
        <w:spacing w:after="0" w:line="79" w:lineRule="exact"/>
        <w:rPr>
          <w:sz w:val="20"/>
          <w:szCs w:val="20"/>
          <w:color w:val="auto"/>
        </w:rPr>
      </w:pPr>
    </w:p>
    <w:p>
      <w:pPr>
        <w:ind w:left="300" w:right="359" w:firstLine="360"/>
        <w:spacing w:after="0" w:line="258" w:lineRule="auto"/>
        <w:rPr>
          <w:sz w:val="20"/>
          <w:szCs w:val="20"/>
          <w:color w:val="auto"/>
        </w:rPr>
      </w:pPr>
      <w:r>
        <w:rPr>
          <w:rFonts w:ascii="Times New Roman" w:cs="Times New Roman" w:eastAsia="Times New Roman" w:hAnsi="Times New Roman"/>
          <w:sz w:val="18"/>
          <w:szCs w:val="18"/>
          <w:color w:val="auto"/>
        </w:rPr>
        <w:t>See the “Introduction” and Section 10 — “Background of the Offer; Past Contacts or Negotiations with Pacira.” A more complete description of the reasons for the Pacira Board’s recommendation and approval of the Offer and the Merger is set forth in the Solicitation/Recommendation Statement on Schedule 14D-9 filed by Pacira with the SEC (together with any exhibits and annexes attached thereto, the “Schedule 14D-9”) that will be furnished to Pacira stockholders in connection with the Offer.</w:t>
      </w:r>
    </w:p>
    <w:p>
      <w:pPr>
        <w:spacing w:after="0" w:line="30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If the Offer is completed, will Pacira continue as a public company?</w:t>
      </w:r>
    </w:p>
    <w:p>
      <w:pPr>
        <w:spacing w:after="0" w:line="121" w:lineRule="exact"/>
        <w:rPr>
          <w:sz w:val="20"/>
          <w:szCs w:val="20"/>
          <w:color w:val="auto"/>
        </w:rPr>
      </w:pPr>
    </w:p>
    <w:p>
      <w:pPr>
        <w:ind w:left="300" w:right="499" w:firstLine="360"/>
        <w:spacing w:after="0" w:line="261" w:lineRule="auto"/>
        <w:rPr>
          <w:sz w:val="20"/>
          <w:szCs w:val="20"/>
          <w:color w:val="auto"/>
        </w:rPr>
      </w:pPr>
      <w:r>
        <w:rPr>
          <w:rFonts w:ascii="Times New Roman" w:cs="Times New Roman" w:eastAsia="Times New Roman" w:hAnsi="Times New Roman"/>
          <w:sz w:val="18"/>
          <w:szCs w:val="18"/>
          <w:color w:val="auto"/>
        </w:rPr>
        <w:t>No. As soon as practicable following the consummation of the Offer, without a meeting of Pacira’s stockholders, we expect to complete the Merger pursuant to applicable provisions of the DGCL and take steps to ensure that the shares of Pacira will cease to be publicly traded. Following the Merger, we will cause the Shares to be delisted from the Nasdaq Global Select Market and deregistered under the Exchange Act.</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Section 13 — “Certain Effects of the Offer.”</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 w:name="page16"/>
    <w:bookmarkEnd w:id="1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Will the Offer be followed by the Merger if all of the Shares are not tendered in the Offer?</w:t>
      </w:r>
    </w:p>
    <w:p>
      <w:pPr>
        <w:spacing w:after="0" w:line="121" w:lineRule="exact"/>
        <w:rPr>
          <w:sz w:val="20"/>
          <w:szCs w:val="20"/>
          <w:color w:val="auto"/>
        </w:rPr>
      </w:pPr>
    </w:p>
    <w:p>
      <w:pPr>
        <w:ind w:left="300" w:right="339" w:firstLine="360"/>
        <w:spacing w:after="0" w:line="255" w:lineRule="auto"/>
        <w:rPr>
          <w:sz w:val="20"/>
          <w:szCs w:val="20"/>
          <w:color w:val="auto"/>
        </w:rPr>
      </w:pPr>
      <w:r>
        <w:rPr>
          <w:rFonts w:ascii="Times New Roman" w:cs="Times New Roman" w:eastAsia="Times New Roman" w:hAnsi="Times New Roman"/>
          <w:sz w:val="18"/>
          <w:szCs w:val="18"/>
          <w:color w:val="auto"/>
        </w:rPr>
        <w:t>If we consummate the Offer, and accordingly we acquire a majority of the outstanding Shares, then, in accordance with the terms of the Merger Agreement, we will complete the Merger as soon as practicable pursuant to applicable sections of the DGCL without a vote on the adoption of the Merger Agreement by Pacira stockholders. Pursuant to the Merger Agreement, if the Minimum Condition is not satisfied, we are not required (nor, without Pacira’s prior written consent, are we permitted) to accept the Shares for purchase in the Offer, nor will we consummate the Merger. See Section 1 — “Terms of the Offer” for more details on our obligation and ability to extend the Offer.</w:t>
      </w:r>
    </w:p>
    <w:p>
      <w:pPr>
        <w:spacing w:after="0" w:line="81" w:lineRule="exact"/>
        <w:rPr>
          <w:sz w:val="20"/>
          <w:szCs w:val="20"/>
          <w:color w:val="auto"/>
        </w:rPr>
      </w:pPr>
    </w:p>
    <w:p>
      <w:pPr>
        <w:ind w:left="300" w:right="459" w:firstLine="360"/>
        <w:spacing w:after="0" w:line="270" w:lineRule="auto"/>
        <w:rPr>
          <w:sz w:val="20"/>
          <w:szCs w:val="20"/>
          <w:color w:val="auto"/>
        </w:rPr>
      </w:pPr>
      <w:r>
        <w:rPr>
          <w:rFonts w:ascii="Times New Roman" w:cs="Times New Roman" w:eastAsia="Times New Roman" w:hAnsi="Times New Roman"/>
          <w:sz w:val="17"/>
          <w:szCs w:val="17"/>
          <w:color w:val="auto"/>
        </w:rPr>
        <w:t>Under the applicable provisions of the Merger Agreement, the Offer and the DGCL, if we complete the Offer, Pacira stockholders who have not tendered their Shares in the Offer, subject to certain exceptions, (i) will not be required to vote on the adoption of the Merger Agreement, (ii) will be entitled to demand appraisal rights under Section 262 of the DGCL in connection with the Merger with respect to any Shares not tendered in the Offer and</w:t>
      </w:r>
    </w:p>
    <w:p>
      <w:pPr>
        <w:spacing w:after="0" w:line="3" w:lineRule="exact"/>
        <w:rPr>
          <w:sz w:val="20"/>
          <w:szCs w:val="20"/>
          <w:color w:val="auto"/>
        </w:rPr>
      </w:pPr>
    </w:p>
    <w:p>
      <w:pPr>
        <w:ind w:left="300" w:right="439" w:hanging="8"/>
        <w:spacing w:after="0" w:line="253" w:lineRule="auto"/>
        <w:tabs>
          <w:tab w:leader="none" w:pos="61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upon consummation of the Merger, if they do not validly exercise and perfect appraisal rights under the DGCL (or if they effectively withdraw or lose such rights), have their Shares converted into the right to receive the same consideration, without interest and subject to any applicable withholding taxes, as was payable in the Offer (the “Merger Consideration”).</w:t>
      </w:r>
    </w:p>
    <w:p>
      <w:pPr>
        <w:spacing w:after="0" w:line="81" w:lineRule="exact"/>
        <w:rPr>
          <w:sz w:val="20"/>
          <w:szCs w:val="20"/>
          <w:color w:val="auto"/>
        </w:rPr>
      </w:pPr>
    </w:p>
    <w:p>
      <w:pPr>
        <w:ind w:left="300" w:right="659" w:firstLine="360"/>
        <w:spacing w:after="0" w:line="266" w:lineRule="auto"/>
        <w:rPr>
          <w:sz w:val="20"/>
          <w:szCs w:val="20"/>
          <w:color w:val="auto"/>
        </w:rPr>
      </w:pPr>
      <w:r>
        <w:rPr>
          <w:rFonts w:ascii="Times New Roman" w:cs="Times New Roman" w:eastAsia="Times New Roman" w:hAnsi="Times New Roman"/>
          <w:sz w:val="18"/>
          <w:szCs w:val="18"/>
          <w:color w:val="auto"/>
        </w:rPr>
        <w:t>See Section 11 — “The Transaction Agreements”, Section 12 — “Purpose of the Offer; Plans for Pacira — Merger Without a Vote of the Pacira Stockholders” and Section 16 — “Certain Legal Matters; Regulatory Approvals.”</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If I decide not to tender, how will the Offer affect my Shares?</w:t>
      </w:r>
    </w:p>
    <w:p>
      <w:pPr>
        <w:spacing w:after="0" w:line="121" w:lineRule="exact"/>
        <w:rPr>
          <w:sz w:val="20"/>
          <w:szCs w:val="20"/>
          <w:color w:val="auto"/>
        </w:rPr>
      </w:pPr>
    </w:p>
    <w:p>
      <w:pPr>
        <w:ind w:left="300" w:right="399" w:firstLine="360"/>
        <w:spacing w:after="0" w:line="253" w:lineRule="auto"/>
        <w:rPr>
          <w:sz w:val="20"/>
          <w:szCs w:val="20"/>
          <w:color w:val="auto"/>
        </w:rPr>
      </w:pPr>
      <w:r>
        <w:rPr>
          <w:rFonts w:ascii="Times New Roman" w:cs="Times New Roman" w:eastAsia="Times New Roman" w:hAnsi="Times New Roman"/>
          <w:sz w:val="18"/>
          <w:szCs w:val="18"/>
          <w:color w:val="auto"/>
        </w:rPr>
        <w:t>If the Offer is consummated and certain other conditions are met, the Merger will be consummated as soon as practicable following the consummation of the Offer in accordance with the terms of the Merger Agreement and without a vote by the stockholders of Pacira, and all of the Shares outstanding prior to the Effective Time will at the Effective Time be converted into the right to receive the same consideration, without interest and subject to any applicable withholding taxes, as was payable in the Offer, except for Shares held (i) by Pacira or any of its subsidiaries (including in Pacira’s treasury), (ii) by Viatris, Purchaser or any other wholly owned direct or indirect subsidiary of Viatris, which Shares will be canceled and will cease to exist, or (iii) by Pacira stockholders who are entitled to demand appraisal rights under, and have properly exercised and perfected their respective demands for appraisal of such Shares in the time and manner provided in, Section 262 of the DGCL). Therefore, if the Merger takes place, the only difference to you between tendering your Shares and not tendering your Shares is that no appraisal rights will be available to you if you tender your Shares.</w:t>
      </w:r>
    </w:p>
    <w:p>
      <w:pPr>
        <w:spacing w:after="0" w:line="1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the “Introduction” and Section 13—“Certain Effects of the Offer.”</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is the market value of my Shares as of a recent date?</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October 7, 2026, the last full trading day before the public announcement of the execution of the Merger</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Agreement, the reported closing sale price on the Nasdaq Global Select Market was $25.20 per Share. On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October 29, 2026, the last full trading day before the commencement of the Offer, the reported closing sale price on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Nasdaq Global Select Market was $36.39 per Share.</w:t>
      </w:r>
    </w:p>
    <w:p>
      <w:pPr>
        <w:spacing w:after="0" w:line="1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Section 6 — “Price Range of Shares; Dividends.”</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Will I be paid a dividend on my Shares during the pendency of the Offer?</w:t>
      </w:r>
    </w:p>
    <w:p>
      <w:pPr>
        <w:spacing w:after="0" w:line="121" w:lineRule="exact"/>
        <w:rPr>
          <w:sz w:val="20"/>
          <w:szCs w:val="20"/>
          <w:color w:val="auto"/>
        </w:rPr>
      </w:pPr>
    </w:p>
    <w:p>
      <w:pPr>
        <w:ind w:left="300" w:right="439" w:firstLine="360"/>
        <w:spacing w:after="0" w:line="261" w:lineRule="auto"/>
        <w:rPr>
          <w:sz w:val="20"/>
          <w:szCs w:val="20"/>
          <w:color w:val="auto"/>
        </w:rPr>
      </w:pPr>
      <w:r>
        <w:rPr>
          <w:rFonts w:ascii="Times New Roman" w:cs="Times New Roman" w:eastAsia="Times New Roman" w:hAnsi="Times New Roman"/>
          <w:sz w:val="18"/>
          <w:szCs w:val="18"/>
          <w:color w:val="auto"/>
        </w:rPr>
        <w:t>No. The Merger Agreement provides that from the date of the Merger Agreement to the earlier of the Offer Acceptance Time and the termination of the Merger Agreement, without the prior written consent of Viatris, Pacira will not establish a record date for, declare, accrue, set aside or pay any dividends or make any other distribution in respect of any shares of its capital stock (including the Shares).</w:t>
      </w:r>
    </w:p>
    <w:p>
      <w:pPr>
        <w:spacing w:after="0" w:line="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Section 6 — “Price Range of Shares; Dividends.”</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Will I have appraisal rights in connection with the Offer?</w:t>
      </w:r>
    </w:p>
    <w:p>
      <w:pPr>
        <w:spacing w:after="0" w:line="121" w:lineRule="exact"/>
        <w:rPr>
          <w:sz w:val="20"/>
          <w:szCs w:val="20"/>
          <w:color w:val="auto"/>
        </w:rPr>
      </w:pPr>
    </w:p>
    <w:p>
      <w:pPr>
        <w:ind w:left="300" w:right="439" w:firstLine="360"/>
        <w:spacing w:after="0" w:line="261" w:lineRule="auto"/>
        <w:rPr>
          <w:sz w:val="20"/>
          <w:szCs w:val="20"/>
          <w:color w:val="auto"/>
        </w:rPr>
      </w:pPr>
      <w:r>
        <w:rPr>
          <w:rFonts w:ascii="Times New Roman" w:cs="Times New Roman" w:eastAsia="Times New Roman" w:hAnsi="Times New Roman"/>
          <w:sz w:val="18"/>
          <w:szCs w:val="18"/>
          <w:color w:val="auto"/>
        </w:rPr>
        <w:t>No appraisal rights are available in connection with the Offer. If the Merger is consummated, however, Pacira stockholders whose Shares have not been purchased by Purchaser pursuant to the Offer will be entitled to appraisal rights under Section 262 of the DGCL. Stockholders must properly perfect their right to seek appraisal under the DGCL in connection with the Merger in order to exercise appraisal rights.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 w:name="page17"/>
    <w:bookmarkEnd w:id="1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59" w:firstLine="360"/>
        <w:spacing w:after="0" w:line="266" w:lineRule="auto"/>
        <w:rPr>
          <w:sz w:val="20"/>
          <w:szCs w:val="20"/>
          <w:color w:val="auto"/>
        </w:rPr>
      </w:pPr>
      <w:r>
        <w:rPr>
          <w:rFonts w:ascii="Times New Roman" w:cs="Times New Roman" w:eastAsia="Times New Roman" w:hAnsi="Times New Roman"/>
          <w:sz w:val="18"/>
          <w:szCs w:val="18"/>
          <w:color w:val="auto"/>
        </w:rPr>
        <w:t>A more detailed discussion of appraisal rights can be found in Section 16—“Certain Legal Matters; Regulatory Approvals” and the full text of Section 262 of the DGCL may be accessed without subscription or cost at the following publicly available website: https://delcode.delaware.gov/title8/c001/sc09/index.html#262.</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will happen to my stock options in the Offer?</w:t>
      </w:r>
    </w:p>
    <w:p>
      <w:pPr>
        <w:spacing w:after="0" w:line="121" w:lineRule="exact"/>
        <w:rPr>
          <w:sz w:val="20"/>
          <w:szCs w:val="20"/>
          <w:color w:val="auto"/>
        </w:rPr>
      </w:pPr>
    </w:p>
    <w:p>
      <w:pPr>
        <w:ind w:left="300" w:right="3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Options to purchase Shares (“Pacira Options”) are not sought in or affected by the Offer. However, pursuant to the Merger Agreement, at the Effective Time, each Pacira Option that is outstanding as of immediately prior to the Effective Time, whether vested or unvested, will be canceled and converted into the right to receive an amount in cash equal to the product of (i) the total number of Shares subject to such Pacira Option immediately prior to the Effective Time, multiplied by (ii) the excess, if any, of (x) the Offer Price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(y) the exercise price per Share of such Pacira Option, provided that each Pacira Option that has an exercise price per Share that is equal to or greater than the Offer Price will be canceled at the Effective Time without any consideration payable (whether in the form of cash or otherwise) therefor, whether before or after the Effective Time.</w:t>
      </w:r>
    </w:p>
    <w:p>
      <w:pPr>
        <w:spacing w:after="0" w:line="84" w:lineRule="exact"/>
        <w:rPr>
          <w:sz w:val="20"/>
          <w:szCs w:val="20"/>
          <w:color w:val="auto"/>
        </w:rPr>
      </w:pPr>
    </w:p>
    <w:p>
      <w:pPr>
        <w:ind w:left="300" w:right="559" w:firstLine="360"/>
        <w:spacing w:after="0" w:line="282" w:lineRule="auto"/>
        <w:rPr>
          <w:sz w:val="20"/>
          <w:szCs w:val="20"/>
          <w:color w:val="auto"/>
        </w:rPr>
      </w:pPr>
      <w:r>
        <w:rPr>
          <w:rFonts w:ascii="Times New Roman" w:cs="Times New Roman" w:eastAsia="Times New Roman" w:hAnsi="Times New Roman"/>
          <w:sz w:val="18"/>
          <w:szCs w:val="18"/>
          <w:color w:val="auto"/>
        </w:rPr>
        <w:t>See Section 11 — “The Transaction Agreements — The Merger Agreement — Treatment of Equity Awards, LTIP Awards and Restricted Cash Awards.”</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will happen to my restricted stock units in the Offer?</w:t>
      </w:r>
    </w:p>
    <w:p>
      <w:pPr>
        <w:spacing w:after="0" w:line="121" w:lineRule="exact"/>
        <w:rPr>
          <w:sz w:val="20"/>
          <w:szCs w:val="20"/>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color w:val="auto"/>
        </w:rPr>
        <w:t>Restricted stock unit awards in respect of Shares (“Pacira RSUs”) are not sought in or affected by the Offer. However, pursuant to the Merger Agreement, at the Effective Time, each Pacira RSU that is outstanding as of immediately prior to the Effective Time, whether vested or unvested, will be canceled and converted into the right to receive an amount in cash equal to the product of (i) the total number of Shares issuable in settlement of such Pacira RSU, multiplied by (ii) the Offer Price.</w:t>
      </w:r>
    </w:p>
    <w:p>
      <w:pPr>
        <w:spacing w:after="0" w:line="75" w:lineRule="exact"/>
        <w:rPr>
          <w:sz w:val="20"/>
          <w:szCs w:val="20"/>
          <w:color w:val="auto"/>
        </w:rPr>
      </w:pPr>
    </w:p>
    <w:p>
      <w:pPr>
        <w:ind w:left="300" w:right="559" w:firstLine="360"/>
        <w:spacing w:after="0" w:line="282" w:lineRule="auto"/>
        <w:rPr>
          <w:sz w:val="20"/>
          <w:szCs w:val="20"/>
          <w:color w:val="auto"/>
        </w:rPr>
      </w:pPr>
      <w:r>
        <w:rPr>
          <w:rFonts w:ascii="Times New Roman" w:cs="Times New Roman" w:eastAsia="Times New Roman" w:hAnsi="Times New Roman"/>
          <w:sz w:val="18"/>
          <w:szCs w:val="18"/>
          <w:color w:val="auto"/>
        </w:rPr>
        <w:t>See Section 11 — “The Transaction Agreements — The Merger Agreement — Treatment of Equity Awards, LTIP Awards and Restricted Cash Awards.”</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will happen to my performance share units in the Offer?</w:t>
      </w:r>
    </w:p>
    <w:p>
      <w:pPr>
        <w:spacing w:after="0" w:line="121" w:lineRule="exact"/>
        <w:rPr>
          <w:sz w:val="20"/>
          <w:szCs w:val="20"/>
          <w:color w:val="auto"/>
        </w:rPr>
      </w:pPr>
    </w:p>
    <w:p>
      <w:pPr>
        <w:ind w:left="300" w:right="339" w:firstLine="360"/>
        <w:spacing w:after="0" w:line="277" w:lineRule="auto"/>
        <w:rPr>
          <w:sz w:val="20"/>
          <w:szCs w:val="20"/>
          <w:color w:val="auto"/>
        </w:rPr>
      </w:pPr>
      <w:r>
        <w:rPr>
          <w:rFonts w:ascii="Times New Roman" w:cs="Times New Roman" w:eastAsia="Times New Roman" w:hAnsi="Times New Roman"/>
          <w:sz w:val="17"/>
          <w:szCs w:val="17"/>
          <w:color w:val="auto"/>
        </w:rPr>
        <w:t>Performance share unit awards in respect of Shares (“Pacira PSUs”) are not sought in or affected by the Offer. However, pursuant to the Merger Agreement, at the Effective Time, each Pacira PSU that is outstanding as of immediately prior to the Effective Time, whether vested or unvested, will be canceled and converted into the right to receive an amount in cash equal to the product of (i) the total number of Shares issuable in settlement of such Pacira PSU (determined in accordance with the applicable Pacira PSU award agreement), multiplied by (ii) the Offer Price.</w:t>
      </w:r>
    </w:p>
    <w:p>
      <w:pPr>
        <w:spacing w:after="0" w:line="60" w:lineRule="exact"/>
        <w:rPr>
          <w:sz w:val="20"/>
          <w:szCs w:val="20"/>
          <w:color w:val="auto"/>
        </w:rPr>
      </w:pPr>
    </w:p>
    <w:p>
      <w:pPr>
        <w:ind w:left="300" w:right="559" w:firstLine="360"/>
        <w:spacing w:after="0" w:line="282" w:lineRule="auto"/>
        <w:rPr>
          <w:sz w:val="20"/>
          <w:szCs w:val="20"/>
          <w:color w:val="auto"/>
        </w:rPr>
      </w:pPr>
      <w:r>
        <w:rPr>
          <w:rFonts w:ascii="Times New Roman" w:cs="Times New Roman" w:eastAsia="Times New Roman" w:hAnsi="Times New Roman"/>
          <w:sz w:val="18"/>
          <w:szCs w:val="18"/>
          <w:color w:val="auto"/>
        </w:rPr>
        <w:t>See Section 11 — “The Transaction Agreements — The Merger Agreement — Treatment of Equity Awards, LTIP Awards and Restricted Cash Awards.”</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If I am a participant in the employee stock purchase plan, how do I participate in the Offer?</w:t>
      </w:r>
    </w:p>
    <w:p>
      <w:pPr>
        <w:spacing w:after="0" w:line="121" w:lineRule="exact"/>
        <w:rPr>
          <w:sz w:val="20"/>
          <w:szCs w:val="20"/>
          <w:color w:val="auto"/>
        </w:rPr>
      </w:pPr>
    </w:p>
    <w:p>
      <w:pPr>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If you are a participant in the Pacira 2014 Employee Stock Purchase Plan (the “Pacira ESPP”), you may tender Shares that you have purchased through the Pacira ESPP. If you have purchased Shares through the Pacira ESPP and hold such Shares, you may instruct the administrator of the Pacira ESPP to tender your Shares by the deadline provided in the Offer.</w:t>
      </w:r>
    </w:p>
    <w:p>
      <w:pPr>
        <w:spacing w:after="0" w:line="72" w:lineRule="exact"/>
        <w:rPr>
          <w:sz w:val="20"/>
          <w:szCs w:val="20"/>
          <w:color w:val="auto"/>
        </w:rPr>
      </w:pPr>
    </w:p>
    <w:p>
      <w:pPr>
        <w:ind w:left="300" w:right="379" w:firstLine="360"/>
        <w:spacing w:after="0" w:line="255" w:lineRule="auto"/>
        <w:rPr>
          <w:sz w:val="20"/>
          <w:szCs w:val="20"/>
          <w:color w:val="auto"/>
        </w:rPr>
      </w:pPr>
      <w:r>
        <w:rPr>
          <w:rFonts w:ascii="Times New Roman" w:cs="Times New Roman" w:eastAsia="Times New Roman" w:hAnsi="Times New Roman"/>
          <w:sz w:val="18"/>
          <w:szCs w:val="18"/>
          <w:color w:val="auto"/>
        </w:rPr>
        <w:t>In addition, the Merger Agreement provides that if the closing of the Merger will occur prior to the end of any offering period in existence under the Pacira ESPP as of the Closing Date (as defined in the Merger Agreement), Pacira will take all reasonable actions required to cause a new purchase date to be set under the Pacira ESPP, which date shall not be fewer than two (2) Business Days prior to the Closing Date, for the automatic purchase of Shares on such date. Each Share automatically purchased on the new purchase date contemplated in the Merger Agreement will be converted into the right to receive the Offer Price, subject to applicable tax withholdings. The Pacira ESPP will be terminated upon closing of the Merger.</w:t>
      </w:r>
    </w:p>
    <w:p>
      <w:pPr>
        <w:spacing w:after="0" w:line="81" w:lineRule="exact"/>
        <w:rPr>
          <w:sz w:val="20"/>
          <w:szCs w:val="20"/>
          <w:color w:val="auto"/>
        </w:rPr>
      </w:pPr>
    </w:p>
    <w:p>
      <w:pPr>
        <w:jc w:val="both"/>
        <w:ind w:left="300" w:right="399" w:firstLine="360"/>
        <w:spacing w:after="0" w:line="266" w:lineRule="auto"/>
        <w:rPr>
          <w:sz w:val="20"/>
          <w:szCs w:val="20"/>
          <w:color w:val="auto"/>
        </w:rPr>
      </w:pPr>
      <w:r>
        <w:rPr>
          <w:rFonts w:ascii="Times New Roman" w:cs="Times New Roman" w:eastAsia="Times New Roman" w:hAnsi="Times New Roman"/>
          <w:sz w:val="18"/>
          <w:szCs w:val="18"/>
          <w:color w:val="auto"/>
        </w:rPr>
        <w:t>Pursuant to the Merger Agreement, the amount of your accumulated contributions under the Pacira ESPP as of immediately prior to the Effective Time, to the extent not used to purchase Shares in accordance with the terms and conditions of the Pacira ESPP, will be refunded to you in cash, subject to any applicable withholding taxes.</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will happen to my Convertible Notes in the Offer?</w:t>
      </w:r>
    </w:p>
    <w:p>
      <w:pPr>
        <w:spacing w:after="0" w:line="121" w:lineRule="exact"/>
        <w:rPr>
          <w:sz w:val="20"/>
          <w:szCs w:val="20"/>
          <w:color w:val="auto"/>
        </w:rPr>
      </w:pPr>
    </w:p>
    <w:p>
      <w:pPr>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Pacira’s outstanding 2.125% Convertible Senior Notes due 2029 (the “Convertible Notes”) are not sought in the Offer. However, consummation of the Offer and the Merger may each constitute a “Fundamental Change” or a</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 w:name="page18"/>
    <w:bookmarkEnd w:id="1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99"/>
        <w:spacing w:after="0" w:line="256" w:lineRule="auto"/>
        <w:rPr>
          <w:sz w:val="20"/>
          <w:szCs w:val="20"/>
          <w:color w:val="auto"/>
        </w:rPr>
      </w:pPr>
      <w:r>
        <w:rPr>
          <w:rFonts w:ascii="Times New Roman" w:cs="Times New Roman" w:eastAsia="Times New Roman" w:hAnsi="Times New Roman"/>
          <w:sz w:val="18"/>
          <w:szCs w:val="18"/>
          <w:color w:val="auto"/>
        </w:rPr>
        <w:t>“Make-Whole Fundamental Change” (each as defined in the indenture governing the Convertible Notes (the “Indenture”)) under the Indenture, which may give noteholders the right to require Pacira to repurchase such Convertible Notes for cash at a price equal to 100% of the principal amount thereof plus any accrued and unpaid interest, or the right to convert such Convertible Notes at an increased conversion rate, in each case, in accordance with the terms of the Indenture. As of October 7, 2026, there was $287,500,000 in aggregate principal amount of Convertible Notes outstanding.</w:t>
      </w:r>
    </w:p>
    <w:p>
      <w:pPr>
        <w:spacing w:after="0" w:line="79"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Pursuant to the Merger Agreement, Pacira has agreed, within the time periods required by the Indenture, to take all actions required by, or reasonably requested by Viatris pursuant to, the Indenture and applicable law to be performed by Pacira at or prior to the Effective Time as a result of the Merger Agreement or the consummation of the transactions contemplated thereby, which may include (i) any actions with respect to repurchases or conversions of the Convertible Notes occurring as a result of or in connection with the transactions contemplated by the Merger Agreement constituting a Fundamental Change or a Make-Whole Fundamental Change and (ii) the giving of any notices that may be required or reasonably requested by Viatris and delivery of any required documents or instruments, including any supplemental indenture, officer’s certificates and legal opinions contemplated by the Indenture, to the trustee and noteholders.</w:t>
      </w:r>
    </w:p>
    <w:p>
      <w:pPr>
        <w:spacing w:after="0" w:line="80" w:lineRule="exact"/>
        <w:rPr>
          <w:sz w:val="20"/>
          <w:szCs w:val="20"/>
          <w:color w:val="auto"/>
        </w:rPr>
      </w:pPr>
    </w:p>
    <w:p>
      <w:pPr>
        <w:ind w:left="300" w:right="459" w:firstLine="360"/>
        <w:spacing w:after="0" w:line="254" w:lineRule="auto"/>
        <w:rPr>
          <w:sz w:val="20"/>
          <w:szCs w:val="20"/>
          <w:color w:val="auto"/>
        </w:rPr>
      </w:pPr>
      <w:r>
        <w:rPr>
          <w:rFonts w:ascii="Times New Roman" w:cs="Times New Roman" w:eastAsia="Times New Roman" w:hAnsi="Times New Roman"/>
          <w:sz w:val="18"/>
          <w:szCs w:val="18"/>
          <w:color w:val="auto"/>
        </w:rPr>
        <w:t>In addition, Pacira has agreed to use reasonable best efforts to cooperate with Viatris in seeking to enter into arrangements with the counterparties to the capped call transactions entered into in connection with the issuance of the Convertible Notes (the “Capped Call Transactions”) to cause the Capped Call Transactions to be exercised, settled, canceled or otherwise terminated as of the Effective Time. Pacira has also agreed not to amend, modify or otherwise change the terms of the documentation governing the Capped Call Transactions, or exercise any right or enter into any agreement to terminate or trigger an early settlement of any of the Capped Call Transactions, in each case without Viatris’ prior written consent. See Section 11 — “The Transaction Agreements — The Merger Agreement — Convertible Notes” and Section 11 — “The Transaction Agreements — The Merger Agreement — Capped Call Transactions” for more detail.</w:t>
      </w:r>
    </w:p>
    <w:p>
      <w:pPr>
        <w:spacing w:after="0" w:line="3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are the material U.S. federal income tax consequences of tendering Shares?</w:t>
      </w:r>
    </w:p>
    <w:p>
      <w:pPr>
        <w:spacing w:after="0" w:line="121" w:lineRule="exact"/>
        <w:rPr>
          <w:sz w:val="20"/>
          <w:szCs w:val="20"/>
          <w:color w:val="auto"/>
        </w:rPr>
      </w:pPr>
    </w:p>
    <w:p>
      <w:pPr>
        <w:ind w:left="300" w:right="699" w:firstLine="360"/>
        <w:spacing w:after="0" w:line="261" w:lineRule="auto"/>
        <w:rPr>
          <w:sz w:val="20"/>
          <w:szCs w:val="20"/>
          <w:color w:val="auto"/>
        </w:rPr>
      </w:pPr>
      <w:r>
        <w:rPr>
          <w:rFonts w:ascii="Times New Roman" w:cs="Times New Roman" w:eastAsia="Times New Roman" w:hAnsi="Times New Roman"/>
          <w:sz w:val="18"/>
          <w:szCs w:val="18"/>
          <w:color w:val="auto"/>
        </w:rPr>
        <w:t>Generally, the exchange of Shares for the Offer Price pursuant to the Offer or the Merger (or for cash upon exercise of appraisal rights) will be a taxable transaction for U.S. federal income tax purposes if you are a</w:t>
      </w:r>
    </w:p>
    <w:p>
      <w:pPr>
        <w:jc w:val="both"/>
        <w:ind w:left="300" w:right="419"/>
        <w:spacing w:after="0" w:line="253" w:lineRule="auto"/>
        <w:rPr>
          <w:sz w:val="20"/>
          <w:szCs w:val="20"/>
          <w:color w:val="auto"/>
        </w:rPr>
      </w:pPr>
      <w:r>
        <w:rPr>
          <w:rFonts w:ascii="Times New Roman" w:cs="Times New Roman" w:eastAsia="Times New Roman" w:hAnsi="Times New Roman"/>
          <w:sz w:val="18"/>
          <w:szCs w:val="18"/>
          <w:color w:val="auto"/>
        </w:rPr>
        <w:t>U.S. Holder (as defined below). We urge you to consult your own tax advisor as to the particular tax consequences to you of the Offer and the Merger (including the application and effect of any state, local or non-U.S. income and other tax laws). See Section 5 — “Material U.S. Federal Income Tax Consequences” for a more detailed discussion of the tax consequences of the Offer and the Merger.</w:t>
      </w:r>
    </w:p>
    <w:p>
      <w:pPr>
        <w:spacing w:after="0" w:line="3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Who should I call if I have questions about the Offer?</w:t>
      </w:r>
    </w:p>
    <w:p>
      <w:pPr>
        <w:spacing w:after="0" w:line="121" w:lineRule="exact"/>
        <w:rPr>
          <w:sz w:val="20"/>
          <w:szCs w:val="20"/>
          <w:color w:val="auto"/>
        </w:rPr>
      </w:pPr>
    </w:p>
    <w:p>
      <w:pPr>
        <w:ind w:left="300" w:right="539" w:firstLine="360"/>
        <w:spacing w:after="0" w:line="261" w:lineRule="auto"/>
        <w:rPr>
          <w:sz w:val="20"/>
          <w:szCs w:val="20"/>
          <w:color w:val="auto"/>
        </w:rPr>
      </w:pPr>
      <w:r>
        <w:rPr>
          <w:rFonts w:ascii="Times New Roman" w:cs="Times New Roman" w:eastAsia="Times New Roman" w:hAnsi="Times New Roman"/>
          <w:sz w:val="18"/>
          <w:szCs w:val="18"/>
          <w:color w:val="auto"/>
        </w:rPr>
        <w:t>Innisfree M&amp;A Incorporated is acting as the Information Agent for the Offer. Stockholders may call the Information Agent at (866) 239-1760 (toll-free from the U.S. and Canada) or at +1 (412) 232-3651 (from other countries). Banks and brokers may call collect at (212) 750-5833. See the back cover of this Offer to Purchase for additional contact information.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 w:name="page19"/>
    <w:bookmarkEnd w:id="1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To the Holders of Shares of Common Stock of Pacira BioSciences, Inc.:</w:t>
      </w:r>
    </w:p>
    <w:p>
      <w:pPr>
        <w:spacing w:after="0" w:line="121" w:lineRule="exact"/>
        <w:rPr>
          <w:sz w:val="20"/>
          <w:szCs w:val="20"/>
          <w:color w:val="auto"/>
        </w:rPr>
      </w:pPr>
    </w:p>
    <w:p>
      <w:pPr>
        <w:ind w:left="300" w:right="419" w:firstLine="360"/>
        <w:spacing w:after="0" w:line="258" w:lineRule="auto"/>
        <w:rPr>
          <w:sz w:val="20"/>
          <w:szCs w:val="20"/>
          <w:color w:val="auto"/>
        </w:rPr>
      </w:pPr>
      <w:r>
        <w:rPr>
          <w:rFonts w:ascii="Times New Roman" w:cs="Times New Roman" w:eastAsia="Times New Roman" w:hAnsi="Times New Roman"/>
          <w:sz w:val="18"/>
          <w:szCs w:val="18"/>
          <w:color w:val="auto"/>
        </w:rPr>
        <w:t>Peach Purchaser Sub Inc., a Delaware corporation and a wholly owned subsidiary of Viatris Inc., a Delaware corporation, is offering to purchase all of the outstanding shares of common stock, par value $0.001 per share, of Pacira BioSciences, Inc., a Delaware corporation, at a purchase price of $36.50 per Share, to the seller thereof in cash, net of applicable withholding taxes and without interest, upon the terms and subject to the conditions set forth in this Offer to Purchase and in the related Letter of Transmittal.</w:t>
      </w:r>
    </w:p>
    <w:p>
      <w:pPr>
        <w:spacing w:after="0" w:line="75" w:lineRule="exact"/>
        <w:rPr>
          <w:sz w:val="20"/>
          <w:szCs w:val="20"/>
          <w:color w:val="auto"/>
        </w:rPr>
      </w:pPr>
    </w:p>
    <w:p>
      <w:pPr>
        <w:ind w:left="300" w:right="419" w:firstLine="360"/>
        <w:spacing w:after="0" w:line="258" w:lineRule="auto"/>
        <w:rPr>
          <w:sz w:val="20"/>
          <w:szCs w:val="20"/>
          <w:color w:val="auto"/>
        </w:rPr>
      </w:pPr>
      <w:r>
        <w:rPr>
          <w:rFonts w:ascii="Times New Roman" w:cs="Times New Roman" w:eastAsia="Times New Roman" w:hAnsi="Times New Roman"/>
          <w:sz w:val="18"/>
          <w:szCs w:val="18"/>
          <w:color w:val="auto"/>
        </w:rPr>
        <w:t>We are making this Offer pursuant to an Agreement and Plan of Merger, dated October 8, 2026, by and among Viatris, Purchaser and Pacira. The Merger Agreement provides, among other things, that as soon as practicable following the consummation of the Offer, on the terms and conditions set forth in the Merger Agreement and in accordance with the DGCL, Purchaser will be merged with and into Pacira, with Pacira continuing as the surviving corporation in the Merger and thereby becoming a wholly owned subsidiary of Viatris.</w:t>
      </w:r>
    </w:p>
    <w:p>
      <w:pPr>
        <w:spacing w:after="0" w:line="75" w:lineRule="exact"/>
        <w:rPr>
          <w:sz w:val="20"/>
          <w:szCs w:val="20"/>
          <w:color w:val="auto"/>
        </w:rPr>
      </w:pPr>
    </w:p>
    <w:p>
      <w:pPr>
        <w:ind w:left="300" w:right="339" w:firstLine="360"/>
        <w:spacing w:after="0" w:line="269" w:lineRule="auto"/>
        <w:rPr>
          <w:sz w:val="20"/>
          <w:szCs w:val="20"/>
          <w:color w:val="auto"/>
        </w:rPr>
      </w:pPr>
      <w:r>
        <w:rPr>
          <w:rFonts w:ascii="Times New Roman" w:cs="Times New Roman" w:eastAsia="Times New Roman" w:hAnsi="Times New Roman"/>
          <w:sz w:val="17"/>
          <w:szCs w:val="17"/>
          <w:color w:val="auto"/>
        </w:rPr>
        <w:t xml:space="preserve">At the Effective Time, each Share issued and outstanding immediately prior to the Effective Time (other than Shares held (i) by Pacira or any of its subsidiaries (including in Pacira’s treasury), (ii) by Viatris, Purchaser or any other wholly owned direct or indirect subsidiary of Viatris, which Shares will be canceled and will cease to exist and no consideration will be delivered in exchange therefor, or (iii) by Pacira stockholders who are entitled to demand appraisal rights under, and have properly exercised and perfected their respective demands for appraisal of such Shares in the time and manner provided in, Section 262 of the DGCL) will be converted into the right to receive the Offer Price, upon the terms and conditions set forth in the Merger Agreement. </w:t>
      </w:r>
      <w:r>
        <w:rPr>
          <w:rFonts w:ascii="Times New Roman" w:cs="Times New Roman" w:eastAsia="Times New Roman" w:hAnsi="Times New Roman"/>
          <w:sz w:val="17"/>
          <w:szCs w:val="17"/>
          <w:b w:val="1"/>
          <w:bCs w:val="1"/>
          <w:color w:val="auto"/>
        </w:rPr>
        <w:t>Under no circumstances will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interest be paid on the purchase price for Shares, regardless of any extension of the Offer or any delay in making payment for Shares. </w:t>
      </w:r>
      <w:r>
        <w:rPr>
          <w:rFonts w:ascii="Times New Roman" w:cs="Times New Roman" w:eastAsia="Times New Roman" w:hAnsi="Times New Roman"/>
          <w:sz w:val="17"/>
          <w:szCs w:val="17"/>
          <w:color w:val="auto"/>
        </w:rPr>
        <w:t>As a result of the Merger, Pacira will cease to be a publicly traded company and will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become a wholly owned subsidiary of Viatris. The Merger Agreement is more fully described in Section 11 — “The Transaction Agreements”, which also contains a discussion of the treatment of Pacira Options, Pacira PSUs, Pacira RSUs, Pacira LTIP Awards (as defined below) and Pacira Restricted Cash Awards (as defined below) in the Merger.</w:t>
      </w:r>
    </w:p>
    <w:p>
      <w:pPr>
        <w:spacing w:after="0" w:line="71" w:lineRule="exact"/>
        <w:rPr>
          <w:sz w:val="20"/>
          <w:szCs w:val="20"/>
          <w:color w:val="auto"/>
        </w:rPr>
      </w:pPr>
    </w:p>
    <w:p>
      <w:pPr>
        <w:ind w:left="300" w:right="439" w:firstLine="360"/>
        <w:spacing w:after="0" w:line="277" w:lineRule="auto"/>
        <w:rPr>
          <w:sz w:val="20"/>
          <w:szCs w:val="20"/>
          <w:color w:val="auto"/>
        </w:rPr>
      </w:pPr>
      <w:r>
        <w:rPr>
          <w:rFonts w:ascii="Times New Roman" w:cs="Times New Roman" w:eastAsia="Times New Roman" w:hAnsi="Times New Roman"/>
          <w:sz w:val="17"/>
          <w:szCs w:val="17"/>
          <w:color w:val="auto"/>
        </w:rPr>
        <w:t>Tendering stockholders who are record owners of their Shares and who tender directly to Equiniti Trust Company, LLC, the depositary and paying agent for the Offer (the “Depositary”), will not be obligated to pay brokerage fees or commissions or stock transfer taxes with respect to the purchase of Shares by Purchaser pursuant to the Offer. Stockholders who hold their Shares through a broker, dealer, commercial bank, trust company or other nominee should consult such institution as to whether it charges any service fees or commissions.</w:t>
      </w:r>
    </w:p>
    <w:p>
      <w:pPr>
        <w:spacing w:after="0" w:line="60" w:lineRule="exact"/>
        <w:rPr>
          <w:sz w:val="20"/>
          <w:szCs w:val="20"/>
          <w:color w:val="auto"/>
        </w:rPr>
      </w:pPr>
    </w:p>
    <w:p>
      <w:pPr>
        <w:ind w:left="300" w:right="299" w:firstLine="360"/>
        <w:spacing w:after="0" w:line="251" w:lineRule="auto"/>
        <w:rPr>
          <w:sz w:val="20"/>
          <w:szCs w:val="20"/>
          <w:color w:val="auto"/>
        </w:rPr>
      </w:pPr>
      <w:r>
        <w:rPr>
          <w:rFonts w:ascii="Times New Roman" w:cs="Times New Roman" w:eastAsia="Times New Roman" w:hAnsi="Times New Roman"/>
          <w:sz w:val="18"/>
          <w:szCs w:val="18"/>
          <w:color w:val="auto"/>
        </w:rPr>
        <w:t>The obligation of Purchaser to accept for payment and pay for Shares validly tendered (and not validly withdrawn) pursuant to the Offer is subject to the satisfaction or waiver (to the extent permitted by applicable law) of the conditions set forth in the Merger Agreement (collectively, the “Offer Conditions”), including: (i) that the number of Shares validly tendered (and not properly withdrawn) prior to the time that the Offer expires (but excluding Shares tendered pursuant to guaranteed delivery procedures that have not yet been “received,” as defined by Section 251(h)(6)(f) of the DGCL, by the “depository,” as defined in Section 251(h)(6)(c) of the DGCL), together with the Shares then owned by Purchaser and its affiliates, represents at least one Share more than 50% of the then issued and outstanding Shares (the “Minimum Condition”); (ii) the accuracy of the representations and warranties of Pacira contained in the Merger Agreement at and as of the Offer Acceptance Time (as defined below), subject to varying materiality thresholds specified therein, including that (A) specified representations regarding capitalization must be true and correct in all respects except for any de minimis inaccuracies, (B) specified representations regarding corporate organization, organizational documents, authority, capitalization (other than the capitalization representations referred to in clause (A) above), merger approval and brokers must be true and correct in all material respects, (C) the representation regarding the absence of a Material Adverse Effect (as defined below) since December 31, 2025 through the date of the Merger Agreement must be true and correct in all respects and (D) all other representations and warranties must be true and correct, except where the failure to be so accurate has not had, and would not reasonably be expected to have, individually or in the aggregate, a Material Adverse Effect (collectively, the “Representations Condition”); (iii) the compliance and performance of Pacira in all material respects with all of its covenants and agreements required to be complied with or performed by it at or prior to the Offer Acceptance Time under the Merger Agreement (the “Covenants Condition”); (iv) the absence, since the date of the Merger Agreement, of any Material Adverse Effect that is continuing as of the Offer Acceptance Time (the “MAE Condition”); (v) the expiration or termination of the waiting period (or any extension thereof) applicable to the Offer under the Hart-Scott-Rodino Antitrust Improvements Act of 1976, as amended (the “HSR Act”), and the expiration of any timing agreement with any governmental body applicable to the Offer or the Merger (or such</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 w:name="page20"/>
    <w:bookmarkEnd w:id="1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299"/>
        <w:spacing w:after="0" w:line="252" w:lineRule="auto"/>
        <w:rPr>
          <w:sz w:val="20"/>
          <w:szCs w:val="20"/>
          <w:color w:val="auto"/>
        </w:rPr>
      </w:pPr>
      <w:r>
        <w:rPr>
          <w:rFonts w:ascii="Times New Roman" w:cs="Times New Roman" w:eastAsia="Times New Roman" w:hAnsi="Times New Roman"/>
          <w:sz w:val="18"/>
          <w:szCs w:val="18"/>
          <w:color w:val="auto"/>
        </w:rPr>
        <w:t>timing agreement otherwise ceasing to restrict the consummation of the Offer and the Merger) (the “Regulatory Condition”); (vi) the receipt by Viatris and Purchaser of a certificate executed on behalf of Pacira by its chief executive officer or chief financial officer confirming that the Representations Condition, the Covenants Condition and the MAE Condition have been duly satisfied; (vii) there not being in effect any law (other than any antitrust law) or Order promulgated, entered, enforced, enacted, issued or deemed applicable by any court or other governmental body of competent jurisdiction (any such law or Order, a “Legal Restraint”) that directly or indirectly enjoins, restrains or otherwise prohibits, or makes illegal, the acquisition of or payment for Shares pursuant to the Offer, or the consummation of the Merger (the “Non-Prohibition Condition”); (viii) there not being in effect any Legal Restraint imposing a Burdensome Condition (as such term is defined in the Merger Agreement and as described in more detail in Section 11 — “The Transaction Agreements”), and there not being pending any action, suit, charge, complaint, litigation or arbitration brought by any governmental body of competent jurisdiction seeking a Legal Restraint prohibiting, or making illegal, any of the transactions contemplated by the Merger Agreement or seeking to impose a Burdensome Condition (the “Legal Restraint Condition”); and (ix) the Merger Agreement not having been terminated in accordance with its terms (the “Termination Condition”). The Minimum Condition, the Termination Condition and the Non-Prohibition Condition may not be amended, modified, changed or waived by Viatris or Purchaser without the prior written consent of Pacira. Consummation of the Offer is not subject to a financing condition. The conditions to the Offer are described in more detail in Section 15 — “Conditions to the Offer” in this Offer to Purchase.</w:t>
      </w:r>
    </w:p>
    <w:p>
      <w:pPr>
        <w:spacing w:after="0" w:line="80" w:lineRule="exact"/>
        <w:rPr>
          <w:sz w:val="20"/>
          <w:szCs w:val="20"/>
          <w:color w:val="auto"/>
        </w:rPr>
      </w:pPr>
    </w:p>
    <w:p>
      <w:pPr>
        <w:ind w:left="300" w:right="339" w:firstLine="360"/>
        <w:spacing w:after="0" w:line="255" w:lineRule="auto"/>
        <w:rPr>
          <w:sz w:val="20"/>
          <w:szCs w:val="20"/>
          <w:color w:val="auto"/>
        </w:rPr>
      </w:pPr>
      <w:r>
        <w:rPr>
          <w:rFonts w:ascii="Times New Roman" w:cs="Times New Roman" w:eastAsia="Times New Roman" w:hAnsi="Times New Roman"/>
          <w:sz w:val="18"/>
          <w:szCs w:val="18"/>
          <w:b w:val="1"/>
          <w:bCs w:val="1"/>
          <w:color w:val="auto"/>
        </w:rPr>
        <w:t>The Pacira Board unanimously recommends that Pacira stockholders tender their Shares pursuant to the Offer. The Pacira Board has unanimously (i) determined that the Merger Agreement and the transactions contemplated thereby, including the Offer and the Merger (together, the “Transactions”), are fair to, and in the best interest of, Pacira and its stockholders, and declared it advisable for Pacira to enter into the Merger Agreement and consummate the Transactions, (ii) approved the execution, delivery and performance by Pacira of the Merger Agreement and the consummation of the Transactions, (iii) resolved that the Merger will be effected under Section 251(h) of the DGCL and (iv) resolved to recommend that the stockholders of Pacira tender their Shares to Purchaser pursuant to the Offer.</w:t>
      </w:r>
    </w:p>
    <w:p>
      <w:pPr>
        <w:spacing w:after="0" w:line="81" w:lineRule="exact"/>
        <w:rPr>
          <w:sz w:val="20"/>
          <w:szCs w:val="20"/>
          <w:color w:val="auto"/>
        </w:rPr>
      </w:pPr>
    </w:p>
    <w:p>
      <w:pPr>
        <w:ind w:left="300" w:right="459" w:firstLine="360"/>
        <w:spacing w:after="0" w:line="258" w:lineRule="auto"/>
        <w:rPr>
          <w:sz w:val="20"/>
          <w:szCs w:val="20"/>
          <w:color w:val="auto"/>
        </w:rPr>
      </w:pPr>
      <w:r>
        <w:rPr>
          <w:rFonts w:ascii="Times New Roman" w:cs="Times New Roman" w:eastAsia="Times New Roman" w:hAnsi="Times New Roman"/>
          <w:sz w:val="18"/>
          <w:szCs w:val="18"/>
          <w:color w:val="auto"/>
        </w:rPr>
        <w:t>A more complete description of the Pacira Board’s reasons for authorizing and approving the Merger Agreement and the transactions contemplated thereby, including the Offer and the Merger, is set forth in the Schedule 14D-9 of Pacira that will be furnished to Pacira stockholders in connection with the Offer. Pacira stockholders should carefully read the information set forth in the Schedule 14D-9, including the information to be set forth under the sub-headings “Background of Offer and Merger” and “Reasons for Recommendation.”</w:t>
      </w:r>
    </w:p>
    <w:p>
      <w:pPr>
        <w:spacing w:after="0" w:line="75" w:lineRule="exact"/>
        <w:rPr>
          <w:sz w:val="20"/>
          <w:szCs w:val="20"/>
          <w:color w:val="auto"/>
        </w:rPr>
      </w:pPr>
    </w:p>
    <w:p>
      <w:pPr>
        <w:ind w:left="300" w:right="399" w:firstLine="360"/>
        <w:spacing w:after="0" w:line="282" w:lineRule="auto"/>
        <w:rPr>
          <w:sz w:val="20"/>
          <w:szCs w:val="20"/>
          <w:color w:val="auto"/>
        </w:rPr>
      </w:pPr>
      <w:r>
        <w:rPr>
          <w:rFonts w:ascii="Times New Roman" w:cs="Times New Roman" w:eastAsia="Times New Roman" w:hAnsi="Times New Roman"/>
          <w:sz w:val="18"/>
          <w:szCs w:val="18"/>
          <w:color w:val="auto"/>
        </w:rPr>
        <w:t>Pacira has advised Viatris that, as of the close of business on October 23, 2026, 39,957,678 Shares were issued and outstanding.</w:t>
      </w:r>
    </w:p>
    <w:p>
      <w:pPr>
        <w:spacing w:after="0" w:line="54" w:lineRule="exact"/>
        <w:rPr>
          <w:sz w:val="20"/>
          <w:szCs w:val="20"/>
          <w:color w:val="auto"/>
        </w:rPr>
      </w:pPr>
    </w:p>
    <w:p>
      <w:pPr>
        <w:ind w:left="300" w:right="339" w:firstLine="360"/>
        <w:spacing w:after="0" w:line="261" w:lineRule="auto"/>
        <w:rPr>
          <w:sz w:val="20"/>
          <w:szCs w:val="20"/>
          <w:color w:val="auto"/>
        </w:rPr>
      </w:pPr>
      <w:r>
        <w:rPr>
          <w:rFonts w:ascii="Times New Roman" w:cs="Times New Roman" w:eastAsia="Times New Roman" w:hAnsi="Times New Roman"/>
          <w:sz w:val="18"/>
          <w:szCs w:val="18"/>
          <w:color w:val="auto"/>
        </w:rPr>
        <w:t>Pursuant to the Merger Agreement, the directors of the Surviving Corporation at the Effective Time will be the respective individuals who served as the directors of Purchaser as of immediately prior to the Effective Time and the officers of the Surviving Corporation at the Effective Time will be the respective individuals who served as the officers of Purchaser as of immediately prior to the Effective Time.</w:t>
      </w:r>
    </w:p>
    <w:p>
      <w:pPr>
        <w:spacing w:after="0" w:line="72" w:lineRule="exact"/>
        <w:rPr>
          <w:sz w:val="20"/>
          <w:szCs w:val="20"/>
          <w:color w:val="auto"/>
        </w:rPr>
      </w:pPr>
    </w:p>
    <w:p>
      <w:pPr>
        <w:ind w:left="300" w:right="359" w:firstLine="360"/>
        <w:spacing w:after="0" w:line="266" w:lineRule="auto"/>
        <w:rPr>
          <w:sz w:val="20"/>
          <w:szCs w:val="20"/>
          <w:color w:val="auto"/>
        </w:rPr>
      </w:pPr>
      <w:r>
        <w:rPr>
          <w:rFonts w:ascii="Times New Roman" w:cs="Times New Roman" w:eastAsia="Times New Roman" w:hAnsi="Times New Roman"/>
          <w:sz w:val="18"/>
          <w:szCs w:val="18"/>
          <w:color w:val="auto"/>
        </w:rPr>
        <w:t>If the Minimum Condition is satisfied and Purchaser consummates the Offer, Purchaser will consummate the Merger pursuant to Section 251(h) of the DGCL as soon as practicable without a vote on the adoption of the Merger Agreement by Pacira stockholders.</w:t>
      </w:r>
    </w:p>
    <w:p>
      <w:pPr>
        <w:spacing w:after="0" w:line="68" w:lineRule="exact"/>
        <w:rPr>
          <w:sz w:val="20"/>
          <w:szCs w:val="20"/>
          <w:color w:val="auto"/>
        </w:rPr>
      </w:pPr>
    </w:p>
    <w:p>
      <w:pPr>
        <w:ind w:left="300" w:right="439" w:firstLine="360"/>
        <w:spacing w:after="0" w:line="312" w:lineRule="auto"/>
        <w:rPr>
          <w:sz w:val="20"/>
          <w:szCs w:val="20"/>
          <w:color w:val="auto"/>
        </w:rPr>
      </w:pPr>
      <w:r>
        <w:rPr>
          <w:rFonts w:ascii="Times New Roman" w:cs="Times New Roman" w:eastAsia="Times New Roman" w:hAnsi="Times New Roman"/>
          <w:sz w:val="17"/>
          <w:szCs w:val="17"/>
          <w:color w:val="auto"/>
        </w:rPr>
        <w:t>Material U.S. federal income tax consequences of the sale of Shares pursuant to the Offer and the exchange of Shares pursuant to the Merger are described in Section 5 — “Material U.S. Federal Income Tax Consequences.”</w:t>
      </w:r>
    </w:p>
    <w:p>
      <w:pPr>
        <w:spacing w:after="0" w:line="32"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Under the applicable provisions of the Merger Agreement, the Offer and the DGCL, Pacira stockholders will be entitled to demand appraisal rights under the DGCL in connection with the Merger with respect to any Shares not tendered in the Offer, subject to and in accordance with Section 262 of the DGCL. Stockholders must properly perfect their right to seek appraisal under the DGCL in connection with the Merger in order to exercise appraisal rights. See Section 16 — “Certain Legal Matters; Regulatory Approvals.”</w:t>
      </w:r>
    </w:p>
    <w:p>
      <w:pPr>
        <w:spacing w:after="0" w:line="71" w:lineRule="exact"/>
        <w:rPr>
          <w:sz w:val="20"/>
          <w:szCs w:val="20"/>
          <w:color w:val="auto"/>
        </w:rPr>
      </w:pPr>
    </w:p>
    <w:p>
      <w:pPr>
        <w:ind w:left="300" w:right="55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THIS OFFER TO PURCHASE AND THE RELATED LETTER OF TRANSMITTAL CONTAIN IMPORTANT INFORMATION THAT SHOULD BE READ CAREFULLY BEFORE ANY DECISION IS MADE WITH RESPECT TO THE OFFER.</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 w:name="page21"/>
    <w:bookmarkEnd w:id="2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TENDER OFFER</w:t>
      </w:r>
    </w:p>
    <w:p>
      <w:pPr>
        <w:spacing w:after="0" w:line="225" w:lineRule="exact"/>
        <w:rPr>
          <w:sz w:val="20"/>
          <w:szCs w:val="20"/>
          <w:color w:val="auto"/>
        </w:rPr>
      </w:pPr>
    </w:p>
    <w:p>
      <w:pPr>
        <w:ind w:left="640" w:hanging="348"/>
        <w:spacing w:after="0"/>
        <w:tabs>
          <w:tab w:leader="none" w:pos="64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Terms of the Offer.</w:t>
      </w:r>
    </w:p>
    <w:p>
      <w:pPr>
        <w:spacing w:after="0" w:line="121" w:lineRule="exact"/>
        <w:rPr>
          <w:sz w:val="20"/>
          <w:szCs w:val="20"/>
          <w:color w:val="auto"/>
        </w:rPr>
      </w:pPr>
    </w:p>
    <w:p>
      <w:pPr>
        <w:ind w:left="300" w:right="519" w:firstLine="360"/>
        <w:spacing w:after="0" w:line="261" w:lineRule="auto"/>
        <w:rPr>
          <w:sz w:val="20"/>
          <w:szCs w:val="20"/>
          <w:color w:val="auto"/>
        </w:rPr>
      </w:pPr>
      <w:r>
        <w:rPr>
          <w:rFonts w:ascii="Times New Roman" w:cs="Times New Roman" w:eastAsia="Times New Roman" w:hAnsi="Times New Roman"/>
          <w:sz w:val="18"/>
          <w:szCs w:val="18"/>
          <w:color w:val="auto"/>
        </w:rPr>
        <w:t>Upon the terms and subject to the conditions of the Offer (including, if the Offer is extended or amended, the terms and conditions of such extension or amendment), we will accept for payment and promptly after the Expiration Date pay for all Shares validly tendered prior to one minute after 11:59 p.m., Eastern Time, on the Expiration Date and not validly withdrawn as described under Section 4 — “Withdrawal Rights.”</w:t>
      </w:r>
    </w:p>
    <w:p>
      <w:pPr>
        <w:spacing w:after="0" w:line="72" w:lineRule="exact"/>
        <w:rPr>
          <w:sz w:val="20"/>
          <w:szCs w:val="20"/>
          <w:color w:val="auto"/>
        </w:rPr>
      </w:pPr>
    </w:p>
    <w:p>
      <w:pPr>
        <w:ind w:left="300" w:right="339" w:firstLine="360"/>
        <w:spacing w:after="0" w:line="277" w:lineRule="auto"/>
        <w:rPr>
          <w:sz w:val="20"/>
          <w:szCs w:val="20"/>
          <w:color w:val="auto"/>
        </w:rPr>
      </w:pPr>
      <w:r>
        <w:rPr>
          <w:rFonts w:ascii="Times New Roman" w:cs="Times New Roman" w:eastAsia="Times New Roman" w:hAnsi="Times New Roman"/>
          <w:sz w:val="17"/>
          <w:szCs w:val="17"/>
          <w:color w:val="auto"/>
        </w:rPr>
        <w:t>Acceptance for payment of Shares validly tendered and not validly withdrawn pursuant to and subject to the Offer Conditions shall occur as promptly as practicable after the expiration of the Offer on November 16, 2026, unless we extend the Offer pursuant to the terms of the Merger Agreement. We refer to such time of acceptance as the “Offer Acceptance Time”, and the date and time at which such Offer Acceptance Time occurs is referred to as the “Offer Closing.” The date and time at which the Merger becomes effective is referred to as the “Effective Time.”</w:t>
      </w:r>
    </w:p>
    <w:p>
      <w:pPr>
        <w:spacing w:after="0" w:line="60" w:lineRule="exact"/>
        <w:rPr>
          <w:sz w:val="20"/>
          <w:szCs w:val="20"/>
          <w:color w:val="auto"/>
        </w:rPr>
      </w:pPr>
    </w:p>
    <w:p>
      <w:pPr>
        <w:ind w:left="300" w:right="539" w:firstLine="360"/>
        <w:spacing w:after="0" w:line="266" w:lineRule="auto"/>
        <w:rPr>
          <w:sz w:val="20"/>
          <w:szCs w:val="20"/>
          <w:color w:val="auto"/>
        </w:rPr>
      </w:pPr>
      <w:r>
        <w:rPr>
          <w:rFonts w:ascii="Times New Roman" w:cs="Times New Roman" w:eastAsia="Times New Roman" w:hAnsi="Times New Roman"/>
          <w:sz w:val="18"/>
          <w:szCs w:val="18"/>
          <w:color w:val="auto"/>
        </w:rPr>
        <w:t>The Offer is conditioned upon, among other things, the absence of a termination of the Merger Agreement in accordance with its terms and the satisfaction of the Minimum Condition, the Regulatory Condition, the MAE Condition and the other conditions described in Section 15 — “Conditions to the Offer.”</w:t>
      </w:r>
    </w:p>
    <w:p>
      <w:pPr>
        <w:spacing w:after="0" w:line="68" w:lineRule="exact"/>
        <w:rPr>
          <w:sz w:val="20"/>
          <w:szCs w:val="20"/>
          <w:color w:val="auto"/>
        </w:rPr>
      </w:pPr>
    </w:p>
    <w:p>
      <w:pPr>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We have agreed in the Merger Agreement that, subject to the parties’ respective rights to terminate the Merger Agreement in accordance with its terms, if, as of the then-scheduled Expiration Date, any Offer Condition is not satisfied and has not been waived, Purchaser may, in its discretion, extend the Offer on one or more occasions, for an additional period of up to ten (10) Business Days per extension, to permit such Offer Condition to be satisfied. In certain circumstances, we are required by the terms of the Merger Agreement to extend the Offer beyond the initial Expiration Date. Subject to our rights to terminate the Merger Agreement in accordance with its terms, we must extend the Offer from time to time for (i) any period to the minimum extent required by any law, any interpretation or position of the SEC, the staff thereof or the Nasdaq Global Select Market applicable to the Offer, (ii) periods of up to ten (10) Business Days per extension, until any waiting period (and any extension thereof) applicable to the consummation of the Offer under the HSR Act shall have expired or been terminated and (iii) additional periods specified by Pacira of up to ten (10) Business Days per extension if, as of the then-scheduled Expiration Date, any Offer Condition is not satisfied and has not been waived and Pacira requests that the Offer be extended to permit satisfaction of such Offer Condition(s), provided that, solely to the extent the Minimum Condition is the only Offer Condition (other than the Officer’s Certificate Condition) that is not satisfied or waived, Purchaser will not be required to extend the Offer pursuant to this clause (iii) on more than two (2) occasions. However, in no event will Purchaser be required to, and without Pacira’s consent, Purchaser will not be permitted to, extend the Offer beyond the earlier of the termination of the Merger Agreement in accordance with its terms and the first (1st) Business Day immediately following the End Date. If we extend the Offer, such extension will extend the time that you will have to tender (or withdraw) your Shares.</w:t>
      </w:r>
    </w:p>
    <w:p>
      <w:pPr>
        <w:spacing w:after="0" w:line="83"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Purchaser expressly reserves the right to increase the Offer Price or to waive or make any other changes to the terms and conditions of the Offer, including the Offer Conditions, that are not inconsistent with the terms of the Merger Agreement. However, unless otherwise provided by the Merger Agreement, without the prior written consent of Pacira, we are not permitted to (i) decrease the Offer Price, (ii) change the form of consideration payable in the Offer, (iii) decrease the maximum number of Shares sought to be purchased in the Offer, (iv) impose conditions to the Offer in addition to the Offer Conditions, (v) amend or modify any of the Offer Conditions in a manner that adversely affects, or would reasonably be expected to adversely affect, any holder of Shares or that would, individually or in the aggregate, reasonably be expected to prevent, materially delay or materially impair the consummation of the Offer or the Merger, (vi) amend, modify, change or waive the Minimum Condition, the Termination Condition or the Non-Prohibition Condition, (vii) terminate the Offer or accelerate, extend or otherwise change the Expiration Date in a manner other than in accordance with the relevant provisions of the Merger Agreement or (viii) provide any “subsequent offering period” within the meaning of Rule 14d-11 promulgated under the Exchange Act.</w:t>
      </w:r>
    </w:p>
    <w:p>
      <w:pPr>
        <w:spacing w:after="0" w:line="79" w:lineRule="exact"/>
        <w:rPr>
          <w:sz w:val="20"/>
          <w:szCs w:val="20"/>
          <w:color w:val="auto"/>
        </w:rPr>
      </w:pPr>
    </w:p>
    <w:p>
      <w:pPr>
        <w:ind w:left="300" w:right="459" w:firstLine="360"/>
        <w:spacing w:after="0" w:line="261" w:lineRule="auto"/>
        <w:rPr>
          <w:sz w:val="20"/>
          <w:szCs w:val="20"/>
          <w:color w:val="auto"/>
        </w:rPr>
      </w:pPr>
      <w:r>
        <w:rPr>
          <w:rFonts w:ascii="Times New Roman" w:cs="Times New Roman" w:eastAsia="Times New Roman" w:hAnsi="Times New Roman"/>
          <w:sz w:val="18"/>
          <w:szCs w:val="18"/>
          <w:color w:val="auto"/>
        </w:rPr>
        <w:t>Any extension, delay, termination or amendment of the Offer will be followed as promptly as practicable by a public announcement thereof, and such announcement in the case of an extension will be made no later than</w:t>
      </w:r>
    </w:p>
    <w:p>
      <w:pPr>
        <w:ind w:left="300" w:right="399"/>
        <w:spacing w:after="0" w:line="277" w:lineRule="auto"/>
        <w:rPr>
          <w:sz w:val="20"/>
          <w:szCs w:val="20"/>
          <w:color w:val="auto"/>
        </w:rPr>
      </w:pPr>
      <w:r>
        <w:rPr>
          <w:rFonts w:ascii="Times New Roman" w:cs="Times New Roman" w:eastAsia="Times New Roman" w:hAnsi="Times New Roman"/>
          <w:sz w:val="17"/>
          <w:szCs w:val="17"/>
          <w:color w:val="auto"/>
        </w:rPr>
        <w:t>9:00 a.m., Eastern Time, on the next Business Day after the previously scheduled Expiration Date. Without limiting the manner in which Purchaser may choose to make any public announcement, we currently intend to make announcements regarding the Offer by issuing a press release and making any appropriate filing with the SEC.</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 w:name="page22"/>
    <w:bookmarkEnd w:id="2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If we extend the Offer, are delayed in our acceptance for payment of or payment for Shares (whether before or after our acceptance for payment for Shares) or are unable to accept Shares for payment pursuant to the Offer for any reason, then, without prejudice to our rights under the Offer and the Merger Agreement, the Depositary may retain tendered Shares on our behalf, and such Shares may not be withdrawn except to the extent that tendering stockholders are entitled to withdrawal rights as described herein under Section 4 —“Withdrawal Rights.” However, our ability to delay the payment for Shares that we have accepted for payment is limited by Rule 14e-1(c) under the Exchange Act, which requires us to pay the consideration offered or return the securities deposited by or on behalf of stockholders promptly after the termination or withdrawal of the Offer. In addition, in the Merger Agreement, we have agreed that, upon the terms and subject to the conditions of the Offer and the Merger Agreement, Purchaser will (and Viatris will cause Purchaser to) pay for all Shares validly tendered (and not validly withdrawn) in the Offer as promptly as practicable after the Offer Acceptance Time.</w:t>
      </w:r>
    </w:p>
    <w:p>
      <w:pPr>
        <w:spacing w:after="0" w:line="84"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If we make a material change in the terms of the Offer or the information concerning the Offer or if we waive a material condition of the Offer, we will disseminate additional tender offer materials and extend the Offer if and to the extent required by Rules 14d-4(d)(1), 14d-6(c) and 14e-1 under the Exchange Act. The minimum period during which the Offer must remain open following material changes in the terms of the Offer or information concerning the Offer, other than a change in price or a change in percentage of securities sought, will depend upon the facts and circumstances, including the relative materiality of the terms or information changes. We understand that in the SEC’s view, an offer should remain open for a minimum of five (5) Business Days from the date the material change is first published, sent or given to Pacira stockholders, and with respect to a change in price or a change in the percentage of securities sought, a minimum five (5) Business Day period generally is required to allow for adequate dissemination to Pacira stockholders and investor response.</w:t>
      </w:r>
    </w:p>
    <w:p>
      <w:pPr>
        <w:spacing w:after="0" w:line="86" w:lineRule="exact"/>
        <w:rPr>
          <w:sz w:val="20"/>
          <w:szCs w:val="20"/>
          <w:color w:val="auto"/>
        </w:rPr>
      </w:pPr>
    </w:p>
    <w:p>
      <w:pPr>
        <w:jc w:val="both"/>
        <w:ind w:left="300" w:right="439" w:firstLine="360"/>
        <w:spacing w:after="0" w:line="289" w:lineRule="auto"/>
        <w:rPr>
          <w:sz w:val="20"/>
          <w:szCs w:val="20"/>
          <w:color w:val="auto"/>
        </w:rPr>
      </w:pPr>
      <w:r>
        <w:rPr>
          <w:rFonts w:ascii="Times New Roman" w:cs="Times New Roman" w:eastAsia="Times New Roman" w:hAnsi="Times New Roman"/>
          <w:sz w:val="17"/>
          <w:szCs w:val="17"/>
          <w:color w:val="auto"/>
        </w:rPr>
        <w:t>If, on or before the Expiration Date, we increase the consideration being paid for Shares accepted for payment in the Offer, such increased consideration will be paid to all Pacira stockholders whose Shares are purchased in the Offer, whether such Shares were tendered before or after the announcement of the increase in consideration.</w:t>
      </w:r>
    </w:p>
    <w:p>
      <w:pPr>
        <w:spacing w:after="0" w:line="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will not be a subsequent offering period for the Offer.</w:t>
      </w:r>
    </w:p>
    <w:p>
      <w:pPr>
        <w:spacing w:after="0" w:line="117"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We expressly reserve the right, in our sole discretion, subject to the terms and conditions of the Merger Agreement and the applicable rules and regulations of the SEC, not to accept for payment any Shares if, at the Expiration Date, any of the Offer Conditions have not been satisfied or waived. See Section 15 — “Conditions to the Offer.” Under certain circumstances, we may terminate the Merger Agreement and the Offer. See Section 11 — “The Transaction Agreements — The Merger Agreement — Termination.”</w:t>
      </w:r>
    </w:p>
    <w:p>
      <w:pPr>
        <w:spacing w:after="0" w:line="75" w:lineRule="exact"/>
        <w:rPr>
          <w:sz w:val="20"/>
          <w:szCs w:val="20"/>
          <w:color w:val="auto"/>
        </w:rPr>
      </w:pPr>
    </w:p>
    <w:p>
      <w:pPr>
        <w:ind w:left="300" w:right="379" w:firstLine="360"/>
        <w:spacing w:after="0" w:line="266" w:lineRule="auto"/>
        <w:rPr>
          <w:sz w:val="20"/>
          <w:szCs w:val="20"/>
          <w:color w:val="auto"/>
        </w:rPr>
      </w:pPr>
      <w:r>
        <w:rPr>
          <w:rFonts w:ascii="Times New Roman" w:cs="Times New Roman" w:eastAsia="Times New Roman" w:hAnsi="Times New Roman"/>
          <w:sz w:val="18"/>
          <w:szCs w:val="18"/>
          <w:color w:val="auto"/>
        </w:rPr>
        <w:t>As soon as practicable following the Offer Acceptance Time, in accordance with the terms of the Merger Agreement, we will complete the Merger pursuant to Section 251(h) of the DGCL without a vote on the adoption of the Merger Agreement by Pacira stockholders.</w:t>
      </w:r>
    </w:p>
    <w:p>
      <w:pPr>
        <w:spacing w:after="0" w:line="68"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color w:val="auto"/>
        </w:rPr>
        <w:t>Pacira has provided us with its stockholder list and security position listings for the purpose of disseminating this Offer to Purchase, the related Letter of Transmittal and other related materials to holders of Shares. This Offer to Purchase and the related Letter of Transmittal will be mailed to record holders of Shares whose names appear on the stockholder list of Pacira as of October 29, 2026, and will be furnished, for subsequent transmittal to beneficial owners of Shares, to brokers, dealers, commercial banks, trust companies and similar persons whose names, or the names of whose nominees, appear on the stockholder list or, if applicable, who are listed as participants in a clearing agency’s security position listing for subsequent transmittal to beneficial owners of Shares.</w:t>
      </w:r>
    </w:p>
    <w:p>
      <w:pPr>
        <w:spacing w:after="0" w:line="185" w:lineRule="exact"/>
        <w:rPr>
          <w:sz w:val="20"/>
          <w:szCs w:val="20"/>
          <w:color w:val="auto"/>
        </w:rPr>
      </w:pPr>
    </w:p>
    <w:p>
      <w:pPr>
        <w:ind w:left="640" w:hanging="348"/>
        <w:spacing w:after="0"/>
        <w:tabs>
          <w:tab w:leader="none" w:pos="64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Acceptance for Payment and Payment for Shares.</w:t>
      </w:r>
    </w:p>
    <w:p>
      <w:pPr>
        <w:spacing w:after="0" w:line="121" w:lineRule="exact"/>
        <w:rPr>
          <w:sz w:val="20"/>
          <w:szCs w:val="20"/>
          <w:color w:val="auto"/>
        </w:rPr>
      </w:pPr>
    </w:p>
    <w:p>
      <w:pPr>
        <w:ind w:left="300" w:right="379" w:firstLine="360"/>
        <w:spacing w:after="0" w:line="256" w:lineRule="auto"/>
        <w:rPr>
          <w:sz w:val="20"/>
          <w:szCs w:val="20"/>
          <w:color w:val="auto"/>
        </w:rPr>
      </w:pPr>
      <w:r>
        <w:rPr>
          <w:rFonts w:ascii="Times New Roman" w:cs="Times New Roman" w:eastAsia="Times New Roman" w:hAnsi="Times New Roman"/>
          <w:sz w:val="18"/>
          <w:szCs w:val="18"/>
          <w:color w:val="auto"/>
        </w:rPr>
        <w:t>Upon the terms and subject to the satisfaction or waiver (to the extent waivable by Viatris or Purchaser) of the Offer Conditions set forth in Section 15—“Conditions to the Offer” (including, if the Offer is extended or amended, the terms and conditions of any such extension or amendment), Purchaser will, and Viatris will cause Purchaser to, at the Offer Acceptance Time, accept for payment, and as promptly as practicable following the Offer Acceptance Time, pay for all of the Shares validly tendered and not validly withdrawn pursuant to the Offer. See Section 1 —“Terms of the Offer.”</w:t>
      </w:r>
    </w:p>
    <w:p>
      <w:pPr>
        <w:spacing w:after="0" w:line="79" w:lineRule="exact"/>
        <w:rPr>
          <w:sz w:val="20"/>
          <w:szCs w:val="20"/>
          <w:color w:val="auto"/>
        </w:rPr>
      </w:pPr>
    </w:p>
    <w:p>
      <w:pPr>
        <w:ind w:left="300" w:right="439" w:firstLine="360"/>
        <w:spacing w:after="0" w:line="261" w:lineRule="auto"/>
        <w:rPr>
          <w:sz w:val="20"/>
          <w:szCs w:val="20"/>
          <w:color w:val="auto"/>
        </w:rPr>
      </w:pPr>
      <w:r>
        <w:rPr>
          <w:rFonts w:ascii="Times New Roman" w:cs="Times New Roman" w:eastAsia="Times New Roman" w:hAnsi="Times New Roman"/>
          <w:sz w:val="18"/>
          <w:szCs w:val="18"/>
          <w:color w:val="auto"/>
        </w:rPr>
        <w:t>In all cases, payment for Shares validly tendered, not validly withdrawn and accepted for payment pursuant to the Offer will be made only after timely receipt by the Depositary of (i) the certificates evidencing such Shares (“Share Certificates”), if any, or confirmation of a book-entry transfer of such Shares (a “Book-Entry Confirmation”) into the Depositary’s account at The Depository Trust Company (the “Book-Entry Transfer</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2" w:name="page23"/>
    <w:bookmarkEnd w:id="2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spacing w:after="0" w:line="255" w:lineRule="auto"/>
        <w:rPr>
          <w:sz w:val="20"/>
          <w:szCs w:val="20"/>
          <w:color w:val="auto"/>
        </w:rPr>
      </w:pPr>
      <w:r>
        <w:rPr>
          <w:rFonts w:ascii="Times New Roman" w:cs="Times New Roman" w:eastAsia="Times New Roman" w:hAnsi="Times New Roman"/>
          <w:sz w:val="18"/>
          <w:szCs w:val="18"/>
          <w:color w:val="auto"/>
        </w:rPr>
        <w:t xml:space="preserve">Facility”) pursuant to the procedures set forth in Section 3—“Procedures for Accepting the Offer and Tendering Shares”, (ii) the Letter of Transmittal, properly completed and duly executed, with any required signature guarantees or, in the case of a book-entry transfer, an Agent’s Message (as defined below) in lieu of the Letter of Transmittal and (iii) any other documents required by the Letter of Transmittal. Accordingly, tendering stockholders may be paid at different times depending upon when the foregoing documents with respect to Shares are actually received by the Depositary. </w:t>
      </w:r>
      <w:r>
        <w:rPr>
          <w:rFonts w:ascii="Times New Roman" w:cs="Times New Roman" w:eastAsia="Times New Roman" w:hAnsi="Times New Roman"/>
          <w:sz w:val="18"/>
          <w:szCs w:val="18"/>
          <w:b w:val="1"/>
          <w:bCs w:val="1"/>
          <w:color w:val="auto"/>
        </w:rPr>
        <w:t>Under no circumstances will interest be paid on the Offer Price for any Shares, regardless of 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extension of the Offer or any delay in making payment for the Shares.</w:t>
      </w:r>
    </w:p>
    <w:p>
      <w:pPr>
        <w:spacing w:after="0" w:line="81" w:lineRule="exact"/>
        <w:rPr>
          <w:sz w:val="20"/>
          <w:szCs w:val="20"/>
          <w:color w:val="auto"/>
        </w:rPr>
      </w:pPr>
    </w:p>
    <w:p>
      <w:pPr>
        <w:ind w:left="300" w:right="439" w:firstLine="360"/>
        <w:spacing w:after="0" w:line="255" w:lineRule="auto"/>
        <w:rPr>
          <w:sz w:val="20"/>
          <w:szCs w:val="20"/>
          <w:color w:val="auto"/>
        </w:rPr>
      </w:pPr>
      <w:r>
        <w:rPr>
          <w:rFonts w:ascii="Times New Roman" w:cs="Times New Roman" w:eastAsia="Times New Roman" w:hAnsi="Times New Roman"/>
          <w:sz w:val="18"/>
          <w:szCs w:val="18"/>
          <w:color w:val="auto"/>
        </w:rPr>
        <w:t>The term “Agent’s Message” means a message, transmitted through electronic means by the Book-Entry Transfer Facility to, and received by, the Depositary and forming a part of a Book-Entry Confirmation, that states that the Book-Entry Transfer Facility has received an express acknowledgment from the participant in the Book-Entry Transfer Facility tendering the Shares that are the subject of such Book-Entry Confirmation that such participant has received and agrees to be bound by the terms of the Letter of Transmittal and that Purchaser may enforce such agreement against such participant. The term “Agent’s Message” also includes any hard copy printout evidencing such message generated by a computer terminal maintained at the Depositary’s office.</w:t>
      </w:r>
    </w:p>
    <w:p>
      <w:pPr>
        <w:spacing w:after="0" w:line="81"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For purposes of the Offer, Purchaser will be deemed to have accepted for payment, and thereby purchased, Shares validly tendered and not validly withdrawn as, if and when Purchaser gives oral or written notice to the Depositary of Purchaser’s irrevocable acceptance for payment of such Shares pursuant to the Offer. Upon the terms set forth in the Merger Agreement and subject to the Offer Conditions, payment for Shares accepted for payment pursuant to the Offer will be made by deposit of the Offer Price for such Shares with the Depositary, which will act as agent for tendering stockholders for the purpose of receiving payments from Purchaser and transmitting such payments to tendering stockholders whose Shares have been accepted for payment. If Purchaser extends the Offer, is delayed in its acceptance for payment of Shares or is unable to accept Shares for payment pursuant to the Offer for any reason, then, without prejudice to Purchaser’s rights under the Offer and the Merger Agreement, the Depositary may, nevertheless, retain tendered Shares on Purchaser’s behalf, and such Shares may only be withdrawn to the extent that tendering stockholders are entitled to withdrawal rights as described below under Section 4 —“Withdrawal Rights” and as otherwise required by Rule 14e-1(c) under the Exchange Act.</w:t>
      </w:r>
    </w:p>
    <w:p>
      <w:pPr>
        <w:spacing w:after="0" w:line="82" w:lineRule="exact"/>
        <w:rPr>
          <w:sz w:val="20"/>
          <w:szCs w:val="20"/>
          <w:color w:val="auto"/>
        </w:rPr>
      </w:pPr>
    </w:p>
    <w:p>
      <w:pPr>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If any tendered Shares are not accepted for payment for any reason pursuant to the terms and conditions of the Offer, or if Share Certificates are submitted evidencing more Shares than are tendered, Share Certificates evidencing unpurchased Shares will be returned, without expense to the tendering stockholder (or, in the case of Shares tendered by book-entry transfer into the Depositary’s account at the Book-Entry Transfer Facility pursuant to the procedure set forth in Section 3—“Procedures for Accepting the Offer and Tendering Shares”, such Shares will be credited to an account maintained at the Book-Entry Transfer Facility), promptly following the expiration or termination of the Offer.</w:t>
      </w:r>
    </w:p>
    <w:p>
      <w:pPr>
        <w:spacing w:after="0" w:line="185" w:lineRule="exact"/>
        <w:rPr>
          <w:sz w:val="20"/>
          <w:szCs w:val="20"/>
          <w:color w:val="auto"/>
        </w:rPr>
      </w:pPr>
    </w:p>
    <w:p>
      <w:pPr>
        <w:ind w:left="640" w:hanging="348"/>
        <w:spacing w:after="0"/>
        <w:tabs>
          <w:tab w:leader="none" w:pos="64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Procedures for Accepting the Offer and Tendering Shares.</w:t>
      </w:r>
    </w:p>
    <w:p>
      <w:pPr>
        <w:spacing w:after="0" w:line="119" w:lineRule="exact"/>
        <w:rPr>
          <w:sz w:val="20"/>
          <w:szCs w:val="20"/>
          <w:color w:val="auto"/>
        </w:rPr>
      </w:pPr>
    </w:p>
    <w:p>
      <w:pPr>
        <w:ind w:left="300" w:right="111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Valid Tenders. </w:t>
      </w:r>
      <w:r>
        <w:rPr>
          <w:rFonts w:ascii="Times New Roman" w:cs="Times New Roman" w:eastAsia="Times New Roman" w:hAnsi="Times New Roman"/>
          <w:sz w:val="18"/>
          <w:szCs w:val="18"/>
          <w:color w:val="auto"/>
        </w:rPr>
        <w:t>In order for Shares to be validly tendered pursuant to the Offer, you must follow these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instructions:</w:t>
      </w:r>
    </w:p>
    <w:p>
      <w:pPr>
        <w:spacing w:after="0" w:line="52" w:lineRule="exact"/>
        <w:rPr>
          <w:sz w:val="20"/>
          <w:szCs w:val="20"/>
          <w:color w:val="auto"/>
        </w:rPr>
      </w:pPr>
    </w:p>
    <w:p>
      <w:pPr>
        <w:ind w:left="1000" w:right="639" w:hanging="348"/>
        <w:spacing w:after="0" w:line="281" w:lineRule="auto"/>
        <w:tabs>
          <w:tab w:leader="none" w:pos="100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you are a record holder and you have certificated Shares, the following must be received by the Depositary at one of its addresses set forth in the Letter of Transmittal before the Offer expires: (1) the Letter of Transmittal, properly completed and duly executed, (2) Share Certificates evidencing such Shares, in proper form for transfer, and (3) any other documents required by the Letter of Transmittal.</w:t>
      </w:r>
    </w:p>
    <w:p>
      <w:pPr>
        <w:spacing w:after="0" w:line="56" w:lineRule="exact"/>
        <w:rPr>
          <w:rFonts w:ascii="Times New Roman" w:cs="Times New Roman" w:eastAsia="Times New Roman" w:hAnsi="Times New Roman"/>
          <w:sz w:val="17"/>
          <w:szCs w:val="17"/>
          <w:color w:val="auto"/>
        </w:rPr>
      </w:pPr>
    </w:p>
    <w:p>
      <w:pPr>
        <w:ind w:left="1000" w:right="419" w:hanging="348"/>
        <w:spacing w:after="0" w:line="261" w:lineRule="auto"/>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a record holder and you hold uncertificated Shares in book-entry form with Pacira’s transfer agent, the following must be received by the Depositary at one of its addresses set forth in the Letter of Transmittal before the Offer expires: (1) the Letter of Transmittal, properly completed and duly executed, and (2) any other documents required by the Letter of Transmittal.</w:t>
      </w:r>
    </w:p>
    <w:p>
      <w:pPr>
        <w:spacing w:after="0" w:line="71" w:lineRule="exact"/>
        <w:rPr>
          <w:rFonts w:ascii="Times New Roman" w:cs="Times New Roman" w:eastAsia="Times New Roman" w:hAnsi="Times New Roman"/>
          <w:sz w:val="18"/>
          <w:szCs w:val="18"/>
          <w:color w:val="auto"/>
        </w:rPr>
      </w:pPr>
    </w:p>
    <w:p>
      <w:pPr>
        <w:ind w:left="1000" w:right="379" w:hanging="348"/>
        <w:spacing w:after="0" w:line="261" w:lineRule="auto"/>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your Shares are held in “street” name and are being tendered by book-entry transfer, the following must be received by the Depositary at one of its addresses set forth in the Letter of Transmittal before the Offer expires: (1) a Book-Entry Confirmation, (2) the Letter of Transmittal, properly completed and duly executed, or an Agent’s Message and (3) any other documents required by the Letter of Transmittal.</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3" w:name="page24"/>
    <w:bookmarkEnd w:id="2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319" w:hanging="348"/>
        <w:spacing w:after="0" w:line="261"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your Share Certificates are not immediately available, or you cannot complete the procedure for delivery by book-entry transfer on a timely basis, or you otherwise cannot deliver all required documents to the Depositary before the Offer expires, you may be able to tender your Shares using the enclosed Notice of Guaranteed Delivery. Please contact the Information Agent (as defined below) for assistance.</w:t>
      </w:r>
    </w:p>
    <w:p>
      <w:pPr>
        <w:spacing w:after="0" w:line="71" w:lineRule="exact"/>
        <w:rPr>
          <w:rFonts w:ascii="Times New Roman" w:cs="Times New Roman" w:eastAsia="Times New Roman" w:hAnsi="Times New Roman"/>
          <w:sz w:val="18"/>
          <w:szCs w:val="18"/>
          <w:color w:val="auto"/>
        </w:rPr>
      </w:pPr>
    </w:p>
    <w:p>
      <w:pPr>
        <w:jc w:val="both"/>
        <w:ind w:left="1000" w:right="459" w:hanging="348"/>
        <w:spacing w:after="0" w:line="266"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hold Shares through a broker, dealer, commercial bank, trust company or other nominee, you must contact your broker, dealer, commercial bank, trust company or other nominee and give instructions that your Shares be tendered.</w:t>
      </w:r>
    </w:p>
    <w:p>
      <w:pPr>
        <w:spacing w:after="0" w:line="66"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Book-Entry Transfer. </w:t>
      </w:r>
      <w:r>
        <w:rPr>
          <w:rFonts w:ascii="Times New Roman" w:cs="Times New Roman" w:eastAsia="Times New Roman" w:hAnsi="Times New Roman"/>
          <w:sz w:val="18"/>
          <w:szCs w:val="18"/>
          <w:color w:val="auto"/>
        </w:rPr>
        <w:t>The Depositary will establish an account with respect to Shares at the Book-Entry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Transfer Facility for purposes of the Offer within two (2) Business Days after the date of this Offer to Purchase. Any financial institution that is a participant in the system of the Book-Entry Transfer Facility may make a book-entry delivery of Shares by causing the Book-Entry Transfer Facility to transfer such Shares into the Depositary’s account at the Book-Entry Transfer Facility in accordance with the Book-Entry Transfer Facility’s procedures for such transfer. However, although delivery of Shares may be effected through book-entry transfer at the Book-Entry Transfer Facility, either the Letter of Transmittal, properly completed and duly executed, together with any required signature guarantees, or an Agent’s Message, and any other required documents, must, in any case, be received by the Depositary at one of its addresses set forth on the back cover of this Offer to Purchase prior to the Expiration Date, or the tendering stockholder must comply with the guaranteed delivery procedure described below. </w:t>
      </w:r>
      <w:r>
        <w:rPr>
          <w:rFonts w:ascii="Times New Roman" w:cs="Times New Roman" w:eastAsia="Times New Roman" w:hAnsi="Times New Roman"/>
          <w:sz w:val="18"/>
          <w:szCs w:val="18"/>
          <w:b w:val="1"/>
          <w:bCs w:val="1"/>
          <w:color w:val="auto"/>
        </w:rPr>
        <w:t>Delivery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of documents to the Book-Entry Transfer Facility does not constitute delivery to the Depositary.</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Signature Guarantees. </w:t>
      </w:r>
      <w:r>
        <w:rPr>
          <w:rFonts w:ascii="Times New Roman" w:cs="Times New Roman" w:eastAsia="Times New Roman" w:hAnsi="Times New Roman"/>
          <w:sz w:val="18"/>
          <w:szCs w:val="18"/>
          <w:color w:val="auto"/>
        </w:rPr>
        <w:t>No signature guarantee is required on the Letter of Transmittal if:</w:t>
      </w:r>
    </w:p>
    <w:p>
      <w:pPr>
        <w:spacing w:after="0" w:line="119" w:lineRule="exact"/>
        <w:rPr>
          <w:sz w:val="20"/>
          <w:szCs w:val="20"/>
          <w:color w:val="auto"/>
        </w:rPr>
      </w:pPr>
    </w:p>
    <w:p>
      <w:pPr>
        <w:ind w:left="1000" w:right="479" w:hanging="348"/>
        <w:spacing w:after="0" w:line="258"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Letter of Transmittal is signed by the registered holder(s) (which term, for purposes of this Section 3, includes any participant in the Book-Entry Transfer Facility’s systems whose name appears on a security position listing as the owner of Shares) of Shares tendered therewith, unless such registered holder has completed either the box entitled “Special Delivery Instructions” or the box entitled “Special Payment Instructions” on the Letter of Transmittal; or</w:t>
      </w:r>
    </w:p>
    <w:p>
      <w:pPr>
        <w:spacing w:after="0" w:line="75" w:lineRule="exact"/>
        <w:rPr>
          <w:rFonts w:ascii="Times New Roman" w:cs="Times New Roman" w:eastAsia="Times New Roman" w:hAnsi="Times New Roman"/>
          <w:sz w:val="18"/>
          <w:szCs w:val="18"/>
          <w:color w:val="auto"/>
        </w:rPr>
      </w:pPr>
    </w:p>
    <w:p>
      <w:pPr>
        <w:ind w:left="1000" w:right="319" w:hanging="348"/>
        <w:spacing w:after="0" w:line="258"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Shares are tendered for the account of a financial institution (including most commercial banks, savings and loan associations and brokerage houses) that is a </w:t>
      </w:r>
      <w:r>
        <w:rPr>
          <w:rFonts w:ascii="Times New Roman" w:cs="Times New Roman" w:eastAsia="Times New Roman" w:hAnsi="Times New Roman"/>
          <w:sz w:val="18"/>
          <w:szCs w:val="18"/>
          <w:b w:val="1"/>
          <w:bCs w:val="1"/>
          <w:color w:val="auto"/>
        </w:rPr>
        <w:t>member in good standing of a recognized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Medallion Program approved by the Securities Transfer Association, Inc., including </w:t>
      </w:r>
      <w:r>
        <w:rPr>
          <w:rFonts w:ascii="Times New Roman" w:cs="Times New Roman" w:eastAsia="Times New Roman" w:hAnsi="Times New Roman"/>
          <w:sz w:val="18"/>
          <w:szCs w:val="18"/>
          <w:color w:val="auto"/>
        </w:rPr>
        <w:t>the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Transfer Agents Medallion Program, </w:t>
      </w:r>
      <w:r>
        <w:rPr>
          <w:rFonts w:ascii="Times New Roman" w:cs="Times New Roman" w:eastAsia="Times New Roman" w:hAnsi="Times New Roman"/>
          <w:sz w:val="18"/>
          <w:szCs w:val="18"/>
          <w:b w:val="1"/>
          <w:bCs w:val="1"/>
          <w:color w:val="auto"/>
        </w:rPr>
        <w:t>the New York Stock Exchange Medallion Signature Program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the Stock Exchanges Medallion Program </w:t>
      </w:r>
      <w:r>
        <w:rPr>
          <w:rFonts w:ascii="Times New Roman" w:cs="Times New Roman" w:eastAsia="Times New Roman" w:hAnsi="Times New Roman"/>
          <w:sz w:val="18"/>
          <w:szCs w:val="18"/>
          <w:color w:val="auto"/>
        </w:rPr>
        <w:t>(each, an “Eligible Institution”).</w:t>
      </w:r>
    </w:p>
    <w:p>
      <w:pPr>
        <w:spacing w:after="0" w:line="75"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In all other cases, all signatures on a Letter of Transmittal must be guaranteed by an Eligible Institution. See Instruction 1 of the Letter of Transmittal. If a Share Certificate is registered in the name of a person or persons other than the signer of the Letter of Transmittal, or if payment is to be made or delivered to, or a Share Certificate not accepted for payment or not tendered is to be issued in, the name(s) of a person other than the registered holder(s), then the Share Certificate must be endorsed or accompanied by appropriate duly executed stock powers, in either case signed exactly as the name(s) of the registered holder(s) appear(s) on the Share Certificate, with the signature(s) on such Share Certificate or stock powers guaranteed by an Eligible Institution as provided in the Letter of Transmittal. See Instructions 1 and 5 of the Letter of Transmittal.</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Guaranteed Delivery. </w:t>
      </w:r>
      <w:r>
        <w:rPr>
          <w:rFonts w:ascii="Times New Roman" w:cs="Times New Roman" w:eastAsia="Times New Roman" w:hAnsi="Times New Roman"/>
          <w:sz w:val="18"/>
          <w:szCs w:val="18"/>
          <w:color w:val="auto"/>
        </w:rPr>
        <w:t>Shares may also be tendered if all the following conditions are satisfied:</w:t>
      </w:r>
    </w:p>
    <w:p>
      <w:pPr>
        <w:spacing w:after="0" w:line="119" w:lineRule="exact"/>
        <w:rPr>
          <w:sz w:val="20"/>
          <w:szCs w:val="20"/>
          <w:color w:val="auto"/>
        </w:rPr>
      </w:pPr>
    </w:p>
    <w:p>
      <w:pPr>
        <w:ind w:left="1000" w:hanging="348"/>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tender is made by or through an Eligible Institution;</w:t>
      </w:r>
    </w:p>
    <w:p>
      <w:pPr>
        <w:spacing w:after="0" w:line="117" w:lineRule="exact"/>
        <w:rPr>
          <w:rFonts w:ascii="Times New Roman" w:cs="Times New Roman" w:eastAsia="Times New Roman" w:hAnsi="Times New Roman"/>
          <w:sz w:val="18"/>
          <w:szCs w:val="18"/>
          <w:color w:val="auto"/>
        </w:rPr>
      </w:pPr>
    </w:p>
    <w:p>
      <w:pPr>
        <w:ind w:left="1000" w:right="499" w:hanging="348"/>
        <w:spacing w:after="0" w:line="266"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properly completed and duly executed notice of guaranteed delivery (the “Notice of Guaranteed Delivery”), substantially in the form made available by Purchaser, must be received by the Depositary at one of its addresses set forth in the Letter of Transmittal before the Offer expires; and</w:t>
      </w:r>
    </w:p>
    <w:p>
      <w:pPr>
        <w:spacing w:after="0" w:line="67" w:lineRule="exact"/>
        <w:rPr>
          <w:rFonts w:ascii="Times New Roman" w:cs="Times New Roman" w:eastAsia="Times New Roman" w:hAnsi="Times New Roman"/>
          <w:sz w:val="18"/>
          <w:szCs w:val="18"/>
          <w:color w:val="auto"/>
        </w:rPr>
      </w:pPr>
    </w:p>
    <w:p>
      <w:pPr>
        <w:ind w:left="1000" w:right="719" w:hanging="348"/>
        <w:spacing w:after="0" w:line="276" w:lineRule="auto"/>
        <w:tabs>
          <w:tab w:leader="none" w:pos="100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following must be received by the Depositary at one of its addresses set forth in the Letter of Transmittal within one trading day after the date of execution of such Notice of Guaranteed Delivery:</w:t>
      </w:r>
    </w:p>
    <w:p>
      <w:pPr>
        <w:ind w:left="1000" w:right="379" w:firstLine="3"/>
        <w:spacing w:after="0" w:line="253" w:lineRule="auto"/>
        <w:tabs>
          <w:tab w:leader="none" w:pos="1295"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Shares being tendered are certificated, (1) the Letter of Transmittal, properly completed and duly executed, (2) Share Certificates evidencing such Shares, in proper form for transfer, and (3) any other documents required by the Letter of Transmittal, (B) if Shares being tendered are uncertificated and held in book-entry form with Pacira’s transfer agent, (1) the Letter of Transmittal, properly completed and duly executed, and (2) any other documents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4" w:name="page25"/>
    <w:bookmarkEnd w:id="2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20" w:right="659"/>
        <w:spacing w:after="0" w:line="266" w:lineRule="auto"/>
        <w:rPr>
          <w:sz w:val="20"/>
          <w:szCs w:val="20"/>
          <w:color w:val="auto"/>
        </w:rPr>
      </w:pPr>
      <w:r>
        <w:rPr>
          <w:rFonts w:ascii="Times New Roman" w:cs="Times New Roman" w:eastAsia="Times New Roman" w:hAnsi="Times New Roman"/>
          <w:sz w:val="18"/>
          <w:szCs w:val="18"/>
          <w:color w:val="auto"/>
        </w:rPr>
        <w:t>required by the Letter of Transmittal and (C) if Shares are being tendered by book-entry transfer, (1) a Book-Entry Confirmation, (2) the Letter of Transmittal, properly completed and duly executed, or an Agent’s Message and (3) any other documents required by the Letter of Transmittal.</w:t>
      </w:r>
    </w:p>
    <w:p>
      <w:pPr>
        <w:spacing w:after="0" w:line="68" w:lineRule="exact"/>
        <w:rPr>
          <w:sz w:val="20"/>
          <w:szCs w:val="20"/>
          <w:color w:val="auto"/>
        </w:rPr>
      </w:pPr>
    </w:p>
    <w:p>
      <w:pPr>
        <w:ind w:left="300" w:right="479" w:firstLine="360"/>
        <w:spacing w:after="0" w:line="282" w:lineRule="auto"/>
        <w:rPr>
          <w:sz w:val="20"/>
          <w:szCs w:val="20"/>
          <w:color w:val="auto"/>
        </w:rPr>
      </w:pPr>
      <w:r>
        <w:rPr>
          <w:rFonts w:ascii="Times New Roman" w:cs="Times New Roman" w:eastAsia="Times New Roman" w:hAnsi="Times New Roman"/>
          <w:sz w:val="18"/>
          <w:szCs w:val="18"/>
          <w:color w:val="auto"/>
        </w:rPr>
        <w:t>The Notice of Guaranteed Delivery must include a guarantee by an Eligible Institution in the form set forth in the form of Notice of Guaranteed Delivery made available by Purchaser.</w:t>
      </w:r>
    </w:p>
    <w:p>
      <w:pPr>
        <w:spacing w:after="0" w:line="54" w:lineRule="exact"/>
        <w:rPr>
          <w:sz w:val="20"/>
          <w:szCs w:val="20"/>
          <w:color w:val="auto"/>
        </w:rPr>
      </w:pPr>
    </w:p>
    <w:p>
      <w:pPr>
        <w:ind w:left="300" w:right="359" w:firstLine="360"/>
        <w:spacing w:after="0" w:line="254" w:lineRule="auto"/>
        <w:rPr>
          <w:sz w:val="20"/>
          <w:szCs w:val="20"/>
          <w:color w:val="auto"/>
        </w:rPr>
      </w:pPr>
      <w:r>
        <w:rPr>
          <w:rFonts w:ascii="Times New Roman" w:cs="Times New Roman" w:eastAsia="Times New Roman" w:hAnsi="Times New Roman"/>
          <w:sz w:val="18"/>
          <w:szCs w:val="18"/>
          <w:color w:val="auto"/>
        </w:rPr>
        <w:t>Notwithstanding any other provision of this Offer, payment for Shares accepted pursuant to the Offer will in all cases only be made after timely receipt by the Depositary of (i) Share Certificates, if any, evidencing such Shares or a Book-Entry Confirmation of a book-entry transfer of such Shares into the Depositary’s account at the Book-Entry Transfer Facility pursuant to the procedures set forth in this Section 3, (ii) the Letter of Transmittal, properly completed and duly executed, with any required signature guarantees or, in the case of a book-entry transfer, an Agent’s Message, and (iii) any other documents required by the Letter of Transmittal. Accordingly, tendering stockholders may be paid at different times depending upon when the foregoing documents with respect to Shares are actually received by the Depositary.</w:t>
      </w:r>
    </w:p>
    <w:p>
      <w:pPr>
        <w:spacing w:after="0" w:line="80" w:lineRule="exact"/>
        <w:rPr>
          <w:sz w:val="20"/>
          <w:szCs w:val="20"/>
          <w:color w:val="auto"/>
        </w:rPr>
      </w:pPr>
    </w:p>
    <w:p>
      <w:pPr>
        <w:jc w:val="both"/>
        <w:ind w:left="300" w:right="39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Shares tendered by a Notice of Guaranteed Delivery will not be deemed validly tendered for purposes of satisfying the Minimum Condition unless and until the Shares to which such Notice of Guaranteed Delivery relates are delivered to the Depositary.</w:t>
      </w:r>
    </w:p>
    <w:p>
      <w:pPr>
        <w:spacing w:after="0" w:line="63" w:lineRule="exact"/>
        <w:rPr>
          <w:sz w:val="20"/>
          <w:szCs w:val="20"/>
          <w:color w:val="auto"/>
        </w:rPr>
      </w:pPr>
    </w:p>
    <w:p>
      <w:pPr>
        <w:ind w:left="300" w:right="399" w:firstLine="360"/>
        <w:spacing w:after="0" w:line="257" w:lineRule="auto"/>
        <w:rPr>
          <w:sz w:val="20"/>
          <w:szCs w:val="20"/>
          <w:color w:val="auto"/>
        </w:rPr>
      </w:pPr>
      <w:r>
        <w:rPr>
          <w:rFonts w:ascii="Times New Roman" w:cs="Times New Roman" w:eastAsia="Times New Roman" w:hAnsi="Times New Roman"/>
          <w:sz w:val="18"/>
          <w:szCs w:val="18"/>
          <w:b w:val="1"/>
          <w:bCs w:val="1"/>
          <w:color w:val="auto"/>
        </w:rPr>
        <w:t>The method of delivery of the Letter of Transmittal, any Share Certificates and all other required documents, including delivery through the Book-Entry Transfer Facility, is at the option and the risk of the tendering stockholder and the delivery will be deemed made only when actually received by the Depositary (including, in the case of book-entry transfer, by Book-Entry Confirmation). If delivery is by mail, registered mail with return receipt requested, properly insured, is recommended. In all cases, sufficient time should be allowed to ensure timely delivery.</w:t>
      </w:r>
    </w:p>
    <w:p>
      <w:pPr>
        <w:spacing w:after="0" w:line="76" w:lineRule="exact"/>
        <w:rPr>
          <w:sz w:val="20"/>
          <w:szCs w:val="20"/>
          <w:color w:val="auto"/>
        </w:rPr>
      </w:pPr>
    </w:p>
    <w:p>
      <w:pPr>
        <w:ind w:left="300" w:right="519" w:firstLine="360"/>
        <w:spacing w:after="0" w:line="255" w:lineRule="auto"/>
        <w:rPr>
          <w:sz w:val="20"/>
          <w:szCs w:val="20"/>
          <w:color w:val="auto"/>
        </w:rPr>
      </w:pPr>
      <w:r>
        <w:rPr>
          <w:rFonts w:ascii="Times New Roman" w:cs="Times New Roman" w:eastAsia="Times New Roman" w:hAnsi="Times New Roman"/>
          <w:sz w:val="18"/>
          <w:szCs w:val="18"/>
          <w:i w:val="1"/>
          <w:iCs w:val="1"/>
          <w:color w:val="auto"/>
        </w:rPr>
        <w:t>Tender Constitutes Binding Agreement</w:t>
      </w:r>
      <w:r>
        <w:rPr>
          <w:rFonts w:ascii="Times New Roman" w:cs="Times New Roman" w:eastAsia="Times New Roman" w:hAnsi="Times New Roman"/>
          <w:sz w:val="18"/>
          <w:szCs w:val="18"/>
          <w:color w:val="auto"/>
        </w:rPr>
        <w:t>. The tender of Shares pursuant to any one of the procedures described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above will constitute the tendering stockholder’s acceptance of the Offer, as well as the tendering stockholder’s representation and warranty that such stockholder has the full power and authority to tender and assign Shares tendered, as specified in the Letter of Transmittal, and that when accepted for payment, we will acquire good, marketable and unencumbered title, free and clear of all liens, restrictions, charges and encumbrances and not subject to any adverse claims. Purchaser’s acceptance for payment of Shares tendered pursuant to the Offer will constitute a binding agreement between the tendering stockholder and Purchaser upon the terms and subject to the conditions of the Offer.</w:t>
      </w:r>
    </w:p>
    <w:p>
      <w:pPr>
        <w:spacing w:after="0" w:line="75" w:lineRule="exact"/>
        <w:rPr>
          <w:sz w:val="20"/>
          <w:szCs w:val="20"/>
          <w:color w:val="auto"/>
        </w:rPr>
      </w:pPr>
    </w:p>
    <w:p>
      <w:pPr>
        <w:ind w:left="300" w:right="399" w:firstLine="360"/>
        <w:spacing w:after="0" w:line="268" w:lineRule="auto"/>
        <w:rPr>
          <w:sz w:val="20"/>
          <w:szCs w:val="20"/>
          <w:color w:val="auto"/>
        </w:rPr>
      </w:pPr>
      <w:r>
        <w:rPr>
          <w:rFonts w:ascii="Times New Roman" w:cs="Times New Roman" w:eastAsia="Times New Roman" w:hAnsi="Times New Roman"/>
          <w:sz w:val="17"/>
          <w:szCs w:val="17"/>
          <w:i w:val="1"/>
          <w:iCs w:val="1"/>
          <w:color w:val="auto"/>
        </w:rPr>
        <w:t xml:space="preserve">Determination of Validity. </w:t>
      </w:r>
      <w:r>
        <w:rPr>
          <w:rFonts w:ascii="Times New Roman" w:cs="Times New Roman" w:eastAsia="Times New Roman" w:hAnsi="Times New Roman"/>
          <w:sz w:val="17"/>
          <w:szCs w:val="17"/>
          <w:b w:val="1"/>
          <w:bCs w:val="1"/>
          <w:color w:val="auto"/>
        </w:rPr>
        <w:t>All questions as to the validity, form, eligibility (including time of receipt)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b w:val="1"/>
          <w:bCs w:val="1"/>
          <w:color w:val="auto"/>
        </w:rPr>
        <w:t xml:space="preserve">acceptance for payment of any tender of Shares will be determined by Purchaser, in its sole discretion, which determination will be final and binding upon the tendering party. </w:t>
      </w:r>
      <w:r>
        <w:rPr>
          <w:rFonts w:ascii="Times New Roman" w:cs="Times New Roman" w:eastAsia="Times New Roman" w:hAnsi="Times New Roman"/>
          <w:sz w:val="17"/>
          <w:szCs w:val="17"/>
          <w:color w:val="auto"/>
        </w:rPr>
        <w:t>Purchaser reserves the absolute right to reject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any and all tenders determined by it not to be in proper form or the acceptance for payment of which may, in the opinion of Purchaser, be unlawful. Purchaser also reserves the absolute right to waive any defect or irregularity in the tender of any Shares by any particular stockholder, whether or not similar defects or irregularities are waived in the case of other stockholders. No tender of Shares will be deemed to have been validly made until all defects and irregularities have been cured or waived to the satisfaction of Purchaser. </w:t>
      </w:r>
      <w:r>
        <w:rPr>
          <w:rFonts w:ascii="Times New Roman" w:cs="Times New Roman" w:eastAsia="Times New Roman" w:hAnsi="Times New Roman"/>
          <w:sz w:val="17"/>
          <w:szCs w:val="17"/>
          <w:b w:val="1"/>
          <w:bCs w:val="1"/>
          <w:color w:val="auto"/>
        </w:rPr>
        <w:t>None of Viatris, Purchaser, Pacira, the</w:t>
      </w:r>
    </w:p>
    <w:p>
      <w:pPr>
        <w:spacing w:after="0" w:line="4" w:lineRule="exact"/>
        <w:rPr>
          <w:sz w:val="20"/>
          <w:szCs w:val="20"/>
          <w:color w:val="auto"/>
        </w:rPr>
      </w:pPr>
    </w:p>
    <w:p>
      <w:pPr>
        <w:ind w:left="300" w:right="399"/>
        <w:spacing w:after="0" w:line="255" w:lineRule="auto"/>
        <w:rPr>
          <w:sz w:val="20"/>
          <w:szCs w:val="20"/>
          <w:color w:val="auto"/>
        </w:rPr>
      </w:pPr>
      <w:r>
        <w:rPr>
          <w:rFonts w:ascii="Times New Roman" w:cs="Times New Roman" w:eastAsia="Times New Roman" w:hAnsi="Times New Roman"/>
          <w:sz w:val="18"/>
          <w:szCs w:val="18"/>
          <w:b w:val="1"/>
          <w:bCs w:val="1"/>
          <w:color w:val="auto"/>
        </w:rPr>
        <w:t>Depositary, Innisfree M&amp;A Incorporated (the “Information Agent”) or any other person will be under any duty to give notification of any defects or irregularities in tenders or incur any liability for failure to give any such notification.</w:t>
      </w:r>
    </w:p>
    <w:p>
      <w:pPr>
        <w:spacing w:after="0" w:line="76" w:lineRule="exact"/>
        <w:rPr>
          <w:sz w:val="20"/>
          <w:szCs w:val="20"/>
          <w:color w:val="auto"/>
        </w:rPr>
      </w:pPr>
    </w:p>
    <w:p>
      <w:pPr>
        <w:ind w:left="300" w:right="359" w:firstLine="36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Appointment as Proxy. </w:t>
      </w:r>
      <w:r>
        <w:rPr>
          <w:rFonts w:ascii="Times New Roman" w:cs="Times New Roman" w:eastAsia="Times New Roman" w:hAnsi="Times New Roman"/>
          <w:sz w:val="18"/>
          <w:szCs w:val="18"/>
          <w:color w:val="auto"/>
        </w:rPr>
        <w:t>By executing the Letter of Transmittal, the tendering stockholder will irrevocably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appoint designees of Purchaser as such stockholder’s attorney-in-fact and proxies in the manner set forth in the Letter of Transmittal, each with full power of substitution, to the full extent of such stockholder’s rights with respect to Shares tendered by such stockholder and accepted for payment by Purchaser and with respect to any and all other Shares or other securities or rights issued or issuable in respect of such Shares. Such appointment will be effective when, and only to the extent that, Purchaser accepts for payment Shares tendered by such stockholder as provided herein. Upon such appointment:</w:t>
      </w:r>
    </w:p>
    <w:p>
      <w:pPr>
        <w:spacing w:after="0" w:line="77" w:lineRule="exact"/>
        <w:rPr>
          <w:sz w:val="20"/>
          <w:szCs w:val="20"/>
          <w:color w:val="auto"/>
        </w:rPr>
      </w:pPr>
    </w:p>
    <w:p>
      <w:pPr>
        <w:ind w:left="1000" w:right="439" w:hanging="348"/>
        <w:spacing w:after="0" w:line="282"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such powers of attorney and proxies will be considered irrevocable and coupled with an interest in the tendered Shares;</w:t>
      </w:r>
    </w:p>
    <w:p>
      <w:pPr>
        <w:spacing w:after="0" w:line="53" w:lineRule="exact"/>
        <w:rPr>
          <w:rFonts w:ascii="Times New Roman" w:cs="Times New Roman" w:eastAsia="Times New Roman" w:hAnsi="Times New Roman"/>
          <w:sz w:val="18"/>
          <w:szCs w:val="18"/>
          <w:color w:val="auto"/>
        </w:rPr>
      </w:pPr>
    </w:p>
    <w:p>
      <w:pPr>
        <w:ind w:left="1000" w:right="339" w:hanging="348"/>
        <w:spacing w:after="0" w:line="282"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prior powers of attorney, proxies and consents given by such stockholder with respect to such Shares or other securities or rights will, without further action, be revoked;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5" w:name="page26"/>
    <w:bookmarkEnd w:id="2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719" w:hanging="348"/>
        <w:spacing w:after="0" w:line="282"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subsequent powers of attorney, proxies, consents or revocations may be given by such stockholder (and, if given, will not be deemed effective); and</w:t>
      </w:r>
    </w:p>
    <w:p>
      <w:pPr>
        <w:spacing w:after="0" w:line="53" w:lineRule="exact"/>
        <w:rPr>
          <w:rFonts w:ascii="Times New Roman" w:cs="Times New Roman" w:eastAsia="Times New Roman" w:hAnsi="Times New Roman"/>
          <w:sz w:val="18"/>
          <w:szCs w:val="18"/>
          <w:color w:val="auto"/>
        </w:rPr>
      </w:pPr>
    </w:p>
    <w:p>
      <w:pPr>
        <w:ind w:left="1000" w:right="459" w:hanging="348"/>
        <w:spacing w:after="0" w:line="282"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designees of Purchaser will thereby be empowered to exercise all voting and other rights with respect to such Shares and other securities or rights.</w:t>
      </w:r>
    </w:p>
    <w:p>
      <w:pPr>
        <w:spacing w:after="0" w:line="54" w:lineRule="exact"/>
        <w:rPr>
          <w:sz w:val="20"/>
          <w:szCs w:val="20"/>
          <w:color w:val="auto"/>
        </w:rPr>
      </w:pPr>
    </w:p>
    <w:p>
      <w:pPr>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Purchaser reserves the right to require that, in order for Shares to be deemed validly tendered, immediately upon Purchaser’s acceptance for payment of such Shares, Purchaser must be able to exercise full voting, consent and other rights with respect to such Shares and other related securities or rights. The Offer does not constitute a solicitation of proxies, absent a purchase of Shares, for any meeting of Pacira’s stockholders.</w:t>
      </w:r>
    </w:p>
    <w:p>
      <w:pPr>
        <w:spacing w:after="0" w:line="176" w:lineRule="exact"/>
        <w:rPr>
          <w:sz w:val="20"/>
          <w:szCs w:val="20"/>
          <w:color w:val="auto"/>
        </w:rPr>
      </w:pPr>
    </w:p>
    <w:p>
      <w:pPr>
        <w:ind w:left="640" w:hanging="348"/>
        <w:spacing w:after="0"/>
        <w:tabs>
          <w:tab w:leader="none" w:pos="64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Withdrawal Rights.</w:t>
      </w:r>
    </w:p>
    <w:p>
      <w:pPr>
        <w:spacing w:after="0" w:line="121" w:lineRule="exact"/>
        <w:rPr>
          <w:sz w:val="20"/>
          <w:szCs w:val="20"/>
          <w:color w:val="auto"/>
        </w:rPr>
      </w:pPr>
    </w:p>
    <w:p>
      <w:pPr>
        <w:ind w:left="300" w:right="359" w:firstLine="360"/>
        <w:spacing w:after="0" w:line="258" w:lineRule="auto"/>
        <w:rPr>
          <w:sz w:val="20"/>
          <w:szCs w:val="20"/>
          <w:color w:val="auto"/>
        </w:rPr>
      </w:pPr>
      <w:r>
        <w:rPr>
          <w:rFonts w:ascii="Times New Roman" w:cs="Times New Roman" w:eastAsia="Times New Roman" w:hAnsi="Times New Roman"/>
          <w:sz w:val="18"/>
          <w:szCs w:val="18"/>
          <w:color w:val="auto"/>
        </w:rPr>
        <w:t>Except as otherwise described in this Section 4, or as provided by applicable law, tenders of Shares made pursuant to the Offer are irrevocable. Shares tendered pursuant to the Offer may be withdrawn at any time prior to the Expiration Date and, unless theretofore accepted for payment by Purchaser pursuant to the Offer, may also be withdrawn at any time after December 29, 2026, which is the 60th day after the date of commencement of the Offer, pursuant to Section 14(d)(5) of the Exchange Act.</w:t>
      </w:r>
    </w:p>
    <w:p>
      <w:pPr>
        <w:spacing w:after="0" w:line="75"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For a withdrawal of Shares to be effective, a written notice of withdrawal must be timely received by the Depositary at one of its addresses set forth on the back cover page of this Offer to Purchase. Any such notice of withdrawal must specify the name of the person who tendered Shares to be withdrawn, the number of Shares to be withdrawn and the name of the registered holder of such Shares, if different from that of the person who tendered such Shares. If Share Certificates evidencing Shares to be withdrawn have been delivered or otherwise identified to the Depositary, then, prior to the physical release of such Share Certificates, the serial numbers shown on such Share Certificates must be submitted to the Depositary and the signature(s) on the notice of withdrawal must be guaranteed by an Eligible Institution, unless such Shares have been tendered for the account of an Eligible Institution. If Shares have been tendered pursuant to the procedure for book-entry transfer as set forth in Section 3—“Procedures for Accepting the Offer and Tendering Shares”, any notice of withdrawal must also specify the name and number of the account at the Book-Entry Transfer Facility to be credited with the withdrawn Shares.</w:t>
      </w:r>
    </w:p>
    <w:p>
      <w:pPr>
        <w:spacing w:after="0" w:line="84"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If Purchaser extends the Offer, is delayed in its acceptance for payment of Shares or is unable to accept Shares for payment pursuant to the Offer for any reason, then, without prejudice to Purchaser’s rights under the Offer, the Depositary may, nevertheless, on behalf of Purchaser, retain tendered Shares, and such Shares may not be withdrawn except to the extent that tendering stockholders are entitled to withdrawal rights as described herein and as otherwise required by Rule 14e-1(c) under the Exchange Act.</w:t>
      </w:r>
    </w:p>
    <w:p>
      <w:pPr>
        <w:spacing w:after="0" w:line="73" w:lineRule="exact"/>
        <w:rPr>
          <w:sz w:val="20"/>
          <w:szCs w:val="20"/>
          <w:color w:val="auto"/>
        </w:rPr>
      </w:pPr>
    </w:p>
    <w:p>
      <w:pPr>
        <w:ind w:left="300" w:right="31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Withdrawals of tenders of Shares may not be rescinded. </w:t>
      </w:r>
      <w:r>
        <w:rPr>
          <w:rFonts w:ascii="Times New Roman" w:cs="Times New Roman" w:eastAsia="Times New Roman" w:hAnsi="Times New Roman"/>
          <w:sz w:val="18"/>
          <w:szCs w:val="18"/>
          <w:color w:val="auto"/>
        </w:rPr>
        <w:t>Any Shares validly withdrawn will thereafter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deemed not to have been validly tendered for purposes of the Offer. However, withdrawn Shares may be re-tendered following one of the procedures described in Section 3—“Procedures for Accepting the Offer and Tendering Shares” at any time prior to the Expiration Date.</w:t>
      </w:r>
    </w:p>
    <w:p>
      <w:pPr>
        <w:spacing w:after="0" w:line="70" w:lineRule="exact"/>
        <w:rPr>
          <w:sz w:val="20"/>
          <w:szCs w:val="20"/>
          <w:color w:val="auto"/>
        </w:rPr>
      </w:pPr>
    </w:p>
    <w:p>
      <w:pPr>
        <w:ind w:left="300" w:right="339" w:firstLine="360"/>
        <w:spacing w:after="0" w:line="256" w:lineRule="auto"/>
        <w:rPr>
          <w:sz w:val="20"/>
          <w:szCs w:val="20"/>
          <w:color w:val="auto"/>
        </w:rPr>
      </w:pPr>
      <w:r>
        <w:rPr>
          <w:rFonts w:ascii="Times New Roman" w:cs="Times New Roman" w:eastAsia="Times New Roman" w:hAnsi="Times New Roman"/>
          <w:sz w:val="18"/>
          <w:szCs w:val="18"/>
          <w:b w:val="1"/>
          <w:bCs w:val="1"/>
          <w:color w:val="auto"/>
        </w:rPr>
        <w:t>All questions as to the form and validity (including time of receipt) of any notice of withdrawal will be determined by Purchaser, in its sole discretion, whose determination will be final and binding upon the tendering party, subject to the rights of holders of Shares to challenge such determination with respect to their Shares in a court of competent jurisdiction and any subsequent judgment of any such court. None of Viatris, Purchaser, Pacira, the Depositary, the Information Agent or any other person will be under any duty to give notification of any defects or irregularities in any notice of withdrawal or incur any liability for failure to give any such notification.</w:t>
      </w:r>
    </w:p>
    <w:p>
      <w:pPr>
        <w:spacing w:after="0" w:line="183" w:lineRule="exact"/>
        <w:rPr>
          <w:sz w:val="20"/>
          <w:szCs w:val="20"/>
          <w:color w:val="auto"/>
        </w:rPr>
      </w:pPr>
    </w:p>
    <w:p>
      <w:pPr>
        <w:ind w:left="640" w:hanging="348"/>
        <w:spacing w:after="0"/>
        <w:tabs>
          <w:tab w:leader="none" w:pos="64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Material U.S. Federal Income Tax Consequences.</w:t>
      </w:r>
    </w:p>
    <w:p>
      <w:pPr>
        <w:spacing w:after="0" w:line="121" w:lineRule="exact"/>
        <w:rPr>
          <w:sz w:val="20"/>
          <w:szCs w:val="20"/>
          <w:color w:val="auto"/>
        </w:rPr>
      </w:pPr>
    </w:p>
    <w:p>
      <w:pPr>
        <w:ind w:left="300" w:right="319" w:firstLine="360"/>
        <w:spacing w:after="0" w:line="272" w:lineRule="auto"/>
        <w:rPr>
          <w:sz w:val="20"/>
          <w:szCs w:val="20"/>
          <w:color w:val="auto"/>
        </w:rPr>
      </w:pPr>
      <w:r>
        <w:rPr>
          <w:rFonts w:ascii="Times New Roman" w:cs="Times New Roman" w:eastAsia="Times New Roman" w:hAnsi="Times New Roman"/>
          <w:sz w:val="17"/>
          <w:szCs w:val="17"/>
          <w:color w:val="auto"/>
        </w:rPr>
        <w:t>The following is a general summary of material U.S. federal income tax consequences of the Offer and the Merger to stockholders of Pacira whose Shares are tendered and accepted for payment of the Offer Price pursuant to the Offer or whose Shares are converted into the right to receive the Offer Price (or cash as a result of exercising appraisal rights). This summary applies only to stockholders of Pacira who hold their shares as “capital assets” within the meaning of Section 1221 of the Code (generally, property held for investment). This summary does not purport to address all U.S. federal income tax matters that may be relevant to a particular stockholder. This summary does not address tax considerations applicable to stockholders that may be subject to special tax rules including, without limitation, the following: (i) certain former U.S. citizens or long-term residents who are subject to special</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6" w:name="page27"/>
    <w:bookmarkEnd w:id="2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39"/>
        <w:spacing w:after="0" w:line="253" w:lineRule="auto"/>
        <w:rPr>
          <w:sz w:val="20"/>
          <w:szCs w:val="20"/>
          <w:color w:val="auto"/>
        </w:rPr>
      </w:pPr>
      <w:r>
        <w:rPr>
          <w:rFonts w:ascii="Times New Roman" w:cs="Times New Roman" w:eastAsia="Times New Roman" w:hAnsi="Times New Roman"/>
          <w:sz w:val="18"/>
          <w:szCs w:val="18"/>
          <w:color w:val="auto"/>
        </w:rPr>
        <w:t>expatriation rules; (ii) financial institutions; (iii) insurance companies; (iv) dealers or traders in securities or currencies or notional principal contracts; (v) tax-exempt entities; (vi) persons that hold Shares as part of a “hedging” or “conversion” transaction or as a position in a “straddle” or as part of a “synthetic security” or other integrated transaction for U.S. federal income tax purposes; (vii) stockholders subject to the alternative minimum tax; (viii) regulated investment companies; (ix) real estate investment trusts; (x) persons that own (or are deemed to own) 5% or more of the outstanding Shares; (xi) partnerships and other pass-through entities and persons who hold Shares through such partnerships or other pass-through entities; (xii) persons that have a “functional currency” other than the U.S. dollar; (xiii) stockholders that acquired (or will acquire) Shares through exercise of employee stock options or otherwise as compensation; and (xiv) persons required to accelerate the recognition of any item of gross income as a result of such income being recognized on an applicable financial statement.</w:t>
      </w:r>
    </w:p>
    <w:p>
      <w:pPr>
        <w:spacing w:after="0" w:line="86" w:lineRule="exact"/>
        <w:rPr>
          <w:sz w:val="20"/>
          <w:szCs w:val="20"/>
          <w:color w:val="auto"/>
        </w:rPr>
      </w:pPr>
    </w:p>
    <w:p>
      <w:pPr>
        <w:ind w:left="300" w:right="359" w:firstLine="360"/>
        <w:spacing w:after="0" w:line="256" w:lineRule="auto"/>
        <w:rPr>
          <w:sz w:val="20"/>
          <w:szCs w:val="20"/>
          <w:color w:val="auto"/>
        </w:rPr>
      </w:pPr>
      <w:r>
        <w:rPr>
          <w:rFonts w:ascii="Times New Roman" w:cs="Times New Roman" w:eastAsia="Times New Roman" w:hAnsi="Times New Roman"/>
          <w:sz w:val="18"/>
          <w:szCs w:val="18"/>
          <w:color w:val="auto"/>
        </w:rPr>
        <w:t>This summary is not a complete analysis of all potential U.S. federal income tax consequences, nor does it address any tax consequences arising under any state, local or non-U.S. tax laws or U.S. federal estate or gift tax laws. This summary is based on current provisions of the Internal Revenue Code of 1986, as amended (the “Code”), existing, proposed and temporary regulations thereunder and administrative and judicial interpretations thereof. All of the foregoing are subject to change, and changes could apply retroactively and could affect the tax consequences described below.</w:t>
      </w:r>
    </w:p>
    <w:p>
      <w:pPr>
        <w:spacing w:after="0" w:line="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purposes of the Offer and the Merger, a “U.S. Holder” means a beneficial owner of Shares that is, for</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U.S. federal income tax purposes: (i) an individual who is a citizen or resident of the United States; (ii) a corporation</w:t>
      </w:r>
    </w:p>
    <w:p>
      <w:pPr>
        <w:spacing w:after="0" w:line="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(or other entity taxable as a corporation for U.S. federal income tax purposes) created or organized under the laws of</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United States or any political subdivision thereof; (iii) an estate, the income of which is subject to U.S. federal</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income taxation regardless of its source; or (iv) a trust (a) if a court within the United States is able to exercise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primary supervision over its administration and one or more U.S. persons has the authority to control all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substantial decisions of the trust or (b) that has a valid election under applicable U.S. Treasury Regulations to be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treated as a U.S. person. For purposes of the Offer and the Merger, a “Non-U.S. Holder” is a beneficial owner of</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Shares that is not a U.S. Holder and is not a partnership for U.S. federal income tax purposes. If a partnership (or</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other entity taxable as a partnership for U.S. federal income tax purposes) holds Shares, the tax treatment of a</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partner will generally depend upon the status of the partner and upon the activities of the partnership. Partners of</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partnerships holding Shares should consult their own tax advisors.</w:t>
      </w:r>
    </w:p>
    <w:p>
      <w:pPr>
        <w:spacing w:after="0" w:line="95" w:lineRule="exact"/>
        <w:rPr>
          <w:sz w:val="20"/>
          <w:szCs w:val="20"/>
          <w:color w:val="auto"/>
        </w:rPr>
      </w:pPr>
    </w:p>
    <w:p>
      <w:pPr>
        <w:ind w:left="300" w:right="41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The descriptions of U.S. federal income tax consequences set forth below are for general information only. You should consult your own tax advisors as to the particular tax consequences to you of this Offer and the Merger, including the application of U.S. federal, state, local and non-U.S. tax laws and possible changes in such laws.</w:t>
      </w:r>
    </w:p>
    <w:p>
      <w:pPr>
        <w:spacing w:after="0" w:line="68"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Consequences of the Offer and the Merger to U.S. Holders. </w:t>
      </w:r>
      <w:r>
        <w:rPr>
          <w:rFonts w:ascii="Times New Roman" w:cs="Times New Roman" w:eastAsia="Times New Roman" w:hAnsi="Times New Roman"/>
          <w:sz w:val="18"/>
          <w:szCs w:val="18"/>
          <w:color w:val="auto"/>
        </w:rPr>
        <w:t>The exchange of Shares for the Offer Price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pursuant to the Offer or the Merger (or for cash upon exercise of appraisal rights) will be a taxable transaction for U.S. federal income tax purposes. In general, a U.S. Holder who makes such an exchange will recognize capital gain or loss in an amount equal to the difference, if any, between the amount of cash received and the U.S. Holder’s adjusted tax basis in the Shares exchanged. Gain or loss generally will be calculated separately for each block of Shares (that is, Shares acquired at the same cost in a single transaction) exchanged. Such gain or loss will generally be long-term capital gain or loss if, as of the date of the exchange, a U.S. Holder’s holding period in the Shares exchanged is more than one year. Long-term capital gain recognized by certain non-corporate holders, including individuals, is currently subject to tax at a reduced rate. In addition, certain non-corporate U.S. Holders may be subject to a 3.8% tax on all or a portion of their “net investment income,” which may include all or a portion of their gain from the exchange of Shares pursuant to the Offer or the Merger. The deductibility of capital losses is subject to limitations under the Code. Any interest awarded by a court to a U.S. Holder that exercises appraisal rights generally will be taxable to such U.S. Holder as ordinary income.</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7" w:name="page28"/>
    <w:bookmarkEnd w:id="27"/>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1300" w:right="1420" w:firstLine="3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Consequences of the Offer and the Merger to Non-U.S. Holders. </w:t>
      </w:r>
      <w:r>
        <w:rPr>
          <w:rFonts w:ascii="Times New Roman" w:cs="Times New Roman" w:eastAsia="Times New Roman" w:hAnsi="Times New Roman"/>
          <w:sz w:val="18"/>
          <w:szCs w:val="18"/>
          <w:color w:val="auto"/>
        </w:rPr>
        <w:t>Subject to the discussions below under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subsections “— </w:t>
      </w:r>
      <w:r>
        <w:rPr>
          <w:rFonts w:ascii="Times New Roman" w:cs="Times New Roman" w:eastAsia="Times New Roman" w:hAnsi="Times New Roman"/>
          <w:sz w:val="18"/>
          <w:szCs w:val="18"/>
          <w:i w:val="1"/>
          <w:iCs w:val="1"/>
          <w:color w:val="auto"/>
        </w:rPr>
        <w:t>Information Reporting and Backup Withholding</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FATCA,</w:t>
      </w:r>
      <w:r>
        <w:rPr>
          <w:rFonts w:ascii="Times New Roman" w:cs="Times New Roman" w:eastAsia="Times New Roman" w:hAnsi="Times New Roman"/>
          <w:sz w:val="18"/>
          <w:szCs w:val="18"/>
          <w:color w:val="auto"/>
        </w:rPr>
        <w:t>” payments you receive as a Non-U.S. Holder with respect to Shares that you tender pursuant to the Offer or exchange in the Merger (or as a result of exercising appraisal rights) generally will be exempt from U.S. federal income tax, unless:</w:t>
      </w:r>
    </w:p>
    <w:p>
      <w:pPr>
        <w:spacing w:after="0" w:line="72" w:lineRule="exact"/>
        <w:rPr>
          <w:sz w:val="20"/>
          <w:szCs w:val="20"/>
          <w:color w:val="auto"/>
        </w:rPr>
      </w:pPr>
    </w:p>
    <w:p>
      <w:pPr>
        <w:ind w:left="2000" w:right="1380" w:hanging="348"/>
        <w:spacing w:after="0" w:line="256" w:lineRule="auto"/>
        <w:tabs>
          <w:tab w:leader="none" w:pos="2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gain, if any, on Shares is effectively connected with your conduct of a trade or business in the United States (and, if an income tax treaty applies, is attributable to your permanent establishment in the United States), in which case (i) you will be subject to U.S. federal income tax in the same manner as if you were a U.S. Holder (except that you should provide an IRS Form W-8ECI instead of an IRS Form W-9) and (ii) if you are a corporation, you may also be subject to branch profits tax on such gain at a 30% rate (or such lower rate as may be specified under an applicable income tax treaty); or</w:t>
      </w:r>
    </w:p>
    <w:p>
      <w:pPr>
        <w:spacing w:after="0" w:line="79" w:lineRule="exact"/>
        <w:rPr>
          <w:rFonts w:ascii="Times New Roman" w:cs="Times New Roman" w:eastAsia="Times New Roman" w:hAnsi="Times New Roman"/>
          <w:sz w:val="18"/>
          <w:szCs w:val="18"/>
          <w:color w:val="auto"/>
        </w:rPr>
      </w:pPr>
    </w:p>
    <w:p>
      <w:pPr>
        <w:jc w:val="both"/>
        <w:ind w:left="2000" w:right="1400" w:hanging="348"/>
        <w:spacing w:after="0" w:line="261" w:lineRule="auto"/>
        <w:tabs>
          <w:tab w:leader="none" w:pos="2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an individual who was present in the United States for 183 days or more in the taxable year of the disposition and certain other conditions are met, in which case you will be subject to U.S. federal income tax at a rate of 30% (or such lower rate as may be specified under an applicable income tax treaty) on the gain from the exchange of Shares (net of certain losses recognized during such year).</w:t>
      </w:r>
    </w:p>
    <w:p>
      <w:pPr>
        <w:spacing w:after="0" w:line="68" w:lineRule="exact"/>
        <w:rPr>
          <w:sz w:val="20"/>
          <w:szCs w:val="20"/>
          <w:color w:val="auto"/>
        </w:rPr>
      </w:pPr>
    </w:p>
    <w:p>
      <w:pPr>
        <w:ind w:left="1300" w:right="1300" w:firstLine="36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Information Reporting and Backup Withholding. </w:t>
      </w:r>
      <w:r>
        <w:rPr>
          <w:rFonts w:ascii="Times New Roman" w:cs="Times New Roman" w:eastAsia="Times New Roman" w:hAnsi="Times New Roman"/>
          <w:sz w:val="18"/>
          <w:szCs w:val="18"/>
          <w:color w:val="auto"/>
        </w:rPr>
        <w:t>Payments made in exchange for Shares pursuant to the Offer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the Merger generally will be subject to information reporting. All payments to which you would be entitled pursuant to the Offer or the Merger (or as a result of exercising appraisal rights) will be subject to backup withholding, currently at a rate of 24%, unless you (i) are a corporation, a Non-U.S. Holder or another exempt recipient or (ii) provide your taxpayer identification number (“TIN”) and certify that no loss of exemption from backup withholding has occurred. If you are a U.S. Holder, you should complete and sign the IRS Form W-9 that is included with the Letter of Transmittal, to be returned to the Depositary, in order to provide the information and certification necessary to avoid backup withholding, unless an applicable exception exists and is proved in a manner satisfactory to the Depositary. If you are a Non-U.S. Holder, you must generally submit the applicable IRS Form W-8 attesting to your exempt foreign status in order to qualify as an exempt recipient.</w:t>
      </w:r>
    </w:p>
    <w:p>
      <w:pPr>
        <w:spacing w:after="0" w:line="81" w:lineRule="exact"/>
        <w:rPr>
          <w:sz w:val="20"/>
          <w:szCs w:val="20"/>
          <w:color w:val="auto"/>
        </w:rPr>
      </w:pPr>
    </w:p>
    <w:p>
      <w:pPr>
        <w:ind w:left="1300" w:right="1460" w:firstLine="360"/>
        <w:spacing w:after="0" w:line="256" w:lineRule="auto"/>
        <w:rPr>
          <w:sz w:val="20"/>
          <w:szCs w:val="20"/>
          <w:color w:val="auto"/>
        </w:rPr>
      </w:pPr>
      <w:r>
        <w:rPr>
          <w:rFonts w:ascii="Times New Roman" w:cs="Times New Roman" w:eastAsia="Times New Roman" w:hAnsi="Times New Roman"/>
          <w:sz w:val="18"/>
          <w:szCs w:val="18"/>
          <w:color w:val="auto"/>
        </w:rPr>
        <w:t>If you do not provide a correct TIN, you may be subject to penalties imposed by the IRS. Any amount paid as backup withholding does not constitute an additional tax and generally will be creditable against your U.S. federal income tax liability, provided the required information is given to the IRS. If backup withholding results in an overpayment of tax, you may obtain a refund by filing a U.S. federal income tax return. You should consult your own tax advisors as to your qualification for exemption from backup withholding and the procedure for obtaining the exemption.</w:t>
      </w:r>
    </w:p>
    <w:p>
      <w:pPr>
        <w:spacing w:after="0" w:line="75" w:lineRule="exact"/>
        <w:rPr>
          <w:sz w:val="20"/>
          <w:szCs w:val="20"/>
          <w:color w:val="auto"/>
        </w:rPr>
      </w:pPr>
    </w:p>
    <w:p>
      <w:pPr>
        <w:ind w:left="1300" w:right="1380" w:firstLine="36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FATCA</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Pursuant to Sections 1471 to 1474 of the Code and the U.S. Treasury Regulations promulgated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thereunder (the provisions commonly known as “FATCA”), if a Non-U.S. Holder exchanges Shares pursuant to the Offer or the Merger, the gross proceeds payable to such Non-U.S. Holder from such sale generally would be subject to withholding at a rate of 30% unless such Non-U.S. Holder complies with the documentation, registration, due diligence and reporting requirements of FATCA. However, proposed U.S. Treasury Regulations have eliminated the application of FATCA withholding to payments of gross proceeds from the disposition of a stock interest in a domestic corporation (such as the Shares). Taxpayers generally may rely on these proposed Treasury Regulations until final Treasury Regulations are issued. Non-U.S. Holders should consult with their tax advisors regarding the possible implications of these rules.</w:t>
      </w:r>
    </w:p>
    <w:p>
      <w:pPr>
        <w:spacing w:after="0" w:line="188" w:lineRule="exact"/>
        <w:rPr>
          <w:sz w:val="20"/>
          <w:szCs w:val="20"/>
          <w:color w:val="auto"/>
        </w:rPr>
      </w:pPr>
    </w:p>
    <w:p>
      <w:pPr>
        <w:ind w:left="1640" w:hanging="348"/>
        <w:spacing w:after="0"/>
        <w:tabs>
          <w:tab w:leader="none" w:pos="164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Price Range of Shares; Dividends.</w:t>
      </w:r>
    </w:p>
    <w:p>
      <w:pPr>
        <w:spacing w:after="0" w:line="121" w:lineRule="exact"/>
        <w:rPr>
          <w:sz w:val="20"/>
          <w:szCs w:val="20"/>
          <w:color w:val="auto"/>
        </w:rPr>
      </w:pPr>
    </w:p>
    <w:p>
      <w:pPr>
        <w:ind w:left="1300" w:right="1320" w:firstLine="360"/>
        <w:spacing w:after="0" w:line="266" w:lineRule="auto"/>
        <w:rPr>
          <w:sz w:val="20"/>
          <w:szCs w:val="20"/>
          <w:color w:val="auto"/>
        </w:rPr>
      </w:pPr>
      <w:r>
        <w:rPr>
          <w:rFonts w:ascii="Times New Roman" w:cs="Times New Roman" w:eastAsia="Times New Roman" w:hAnsi="Times New Roman"/>
          <w:sz w:val="18"/>
          <w:szCs w:val="18"/>
          <w:color w:val="auto"/>
        </w:rPr>
        <w:t>The Shares trade on the Nasdaq Global Select Market under the symbol “PCRX”. The following table sets forth the high and low sale prices per Share for the periods indicated. Share prices are as reported on the Nasdaq Global Select Market based on published financial sources.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30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High</w:t>
            </w:r>
          </w:p>
        </w:tc>
        <w:tc>
          <w:tcPr>
            <w:tcW w:w="240" w:type="dxa"/>
            <w:vAlign w:val="bottom"/>
          </w:tcPr>
          <w:p>
            <w:pPr>
              <w:spacing w:after="0"/>
              <w:rPr>
                <w:sz w:val="16"/>
                <w:szCs w:val="16"/>
                <w:color w:val="auto"/>
              </w:rPr>
            </w:pPr>
          </w:p>
        </w:tc>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Low</w:t>
            </w:r>
          </w:p>
        </w:tc>
        <w:tc>
          <w:tcPr>
            <w:tcW w:w="1300" w:type="dxa"/>
            <w:vAlign w:val="bottom"/>
          </w:tcPr>
          <w:p>
            <w:pPr>
              <w:spacing w:after="0"/>
              <w:rPr>
                <w:sz w:val="16"/>
                <w:szCs w:val="16"/>
                <w:color w:val="auto"/>
              </w:rPr>
            </w:pPr>
          </w:p>
        </w:tc>
      </w:tr>
      <w:tr>
        <w:trPr>
          <w:trHeight w:val="228"/>
        </w:trPr>
        <w:tc>
          <w:tcPr>
            <w:tcW w:w="1300" w:type="dxa"/>
            <w:vAlign w:val="bottom"/>
          </w:tcPr>
          <w:p>
            <w:pPr>
              <w:spacing w:after="0"/>
              <w:rPr>
                <w:sz w:val="19"/>
                <w:szCs w:val="19"/>
                <w:color w:val="auto"/>
              </w:rPr>
            </w:pPr>
          </w:p>
        </w:tc>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Fiscal Year Ended December 31, 2024</w:t>
            </w:r>
          </w:p>
        </w:tc>
        <w:tc>
          <w:tcPr>
            <w:tcW w:w="36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300" w:type="dxa"/>
            <w:vAlign w:val="bottom"/>
          </w:tcPr>
          <w:p>
            <w:pPr>
              <w:spacing w:after="0"/>
              <w:rPr>
                <w:sz w:val="19"/>
                <w:szCs w:val="19"/>
                <w:color w:val="auto"/>
              </w:rPr>
            </w:pPr>
          </w:p>
        </w:tc>
      </w:tr>
      <w:tr>
        <w:trPr>
          <w:trHeight w:val="216"/>
        </w:trPr>
        <w:tc>
          <w:tcPr>
            <w:tcW w:w="130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4160" w:type="dxa"/>
            <w:vAlign w:val="bottom"/>
            <w:gridSpan w:val="2"/>
          </w:tcPr>
          <w:p>
            <w:pPr>
              <w:jc w:val="center"/>
              <w:ind w:left="3570"/>
              <w:spacing w:after="0"/>
              <w:rPr>
                <w:sz w:val="20"/>
                <w:szCs w:val="20"/>
                <w:color w:val="auto"/>
              </w:rPr>
            </w:pPr>
            <w:r>
              <w:rPr>
                <w:rFonts w:ascii="Times New Roman" w:cs="Times New Roman" w:eastAsia="Times New Roman" w:hAnsi="Times New Roman"/>
                <w:sz w:val="18"/>
                <w:szCs w:val="18"/>
                <w:color w:val="auto"/>
              </w:rPr>
              <w:t>$29.33</w:t>
            </w:r>
          </w:p>
        </w:tc>
        <w:tc>
          <w:tcPr>
            <w:tcW w:w="76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rPr>
              <w:t>$11.16</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4160" w:type="dxa"/>
            <w:vAlign w:val="bottom"/>
            <w:gridSpan w:val="2"/>
            <w:shd w:val="clear" w:color="auto" w:fill="CCEEFF"/>
          </w:tcPr>
          <w:p>
            <w:pPr>
              <w:jc w:val="center"/>
              <w:ind w:left="3570"/>
              <w:spacing w:after="0"/>
              <w:rPr>
                <w:sz w:val="20"/>
                <w:szCs w:val="20"/>
                <w:color w:val="auto"/>
              </w:rPr>
            </w:pPr>
            <w:r>
              <w:rPr>
                <w:rFonts w:ascii="Times New Roman" w:cs="Times New Roman" w:eastAsia="Times New Roman" w:hAnsi="Times New Roman"/>
                <w:sz w:val="18"/>
                <w:szCs w:val="18"/>
                <w:color w:val="auto"/>
              </w:rPr>
              <w:t>$20.42</w:t>
            </w:r>
          </w:p>
        </w:tc>
        <w:tc>
          <w:tcPr>
            <w:tcW w:w="760" w:type="dxa"/>
            <w:vAlign w:val="bottom"/>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rPr>
              <w:t>$14.72</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Fiscal Year Ended December 31, 2025</w:t>
            </w:r>
          </w:p>
        </w:tc>
        <w:tc>
          <w:tcPr>
            <w:tcW w:w="3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4160" w:type="dxa"/>
            <w:vAlign w:val="bottom"/>
            <w:gridSpan w:val="2"/>
            <w:shd w:val="clear" w:color="auto" w:fill="CCEEFF"/>
          </w:tcPr>
          <w:p>
            <w:pPr>
              <w:jc w:val="center"/>
              <w:ind w:left="3570"/>
              <w:spacing w:after="0"/>
              <w:rPr>
                <w:sz w:val="20"/>
                <w:szCs w:val="20"/>
                <w:color w:val="auto"/>
              </w:rPr>
            </w:pPr>
            <w:r>
              <w:rPr>
                <w:rFonts w:ascii="Times New Roman" w:cs="Times New Roman" w:eastAsia="Times New Roman" w:hAnsi="Times New Roman"/>
                <w:sz w:val="18"/>
                <w:szCs w:val="18"/>
                <w:color w:val="auto"/>
              </w:rPr>
              <w:t>$27.59</w:t>
            </w:r>
          </w:p>
        </w:tc>
        <w:tc>
          <w:tcPr>
            <w:tcW w:w="760" w:type="dxa"/>
            <w:vAlign w:val="bottom"/>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rPr>
              <w:t>$18.17</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4160" w:type="dxa"/>
            <w:vAlign w:val="bottom"/>
            <w:gridSpan w:val="2"/>
          </w:tcPr>
          <w:p>
            <w:pPr>
              <w:jc w:val="center"/>
              <w:ind w:left="3570"/>
              <w:spacing w:after="0"/>
              <w:rPr>
                <w:sz w:val="20"/>
                <w:szCs w:val="20"/>
                <w:color w:val="auto"/>
              </w:rPr>
            </w:pPr>
            <w:r>
              <w:rPr>
                <w:rFonts w:ascii="Times New Roman" w:cs="Times New Roman" w:eastAsia="Times New Roman" w:hAnsi="Times New Roman"/>
                <w:sz w:val="18"/>
                <w:szCs w:val="18"/>
                <w:color w:val="auto"/>
              </w:rPr>
              <w:t>$27.64</w:t>
            </w:r>
          </w:p>
        </w:tc>
        <w:tc>
          <w:tcPr>
            <w:tcW w:w="76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rPr>
              <w:t>$21.79</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4160" w:type="dxa"/>
            <w:vAlign w:val="bottom"/>
            <w:gridSpan w:val="2"/>
            <w:shd w:val="clear" w:color="auto" w:fill="CCEEFF"/>
          </w:tcPr>
          <w:p>
            <w:pPr>
              <w:jc w:val="center"/>
              <w:ind w:left="3570"/>
              <w:spacing w:after="0"/>
              <w:rPr>
                <w:sz w:val="20"/>
                <w:szCs w:val="20"/>
                <w:color w:val="auto"/>
              </w:rPr>
            </w:pPr>
            <w:r>
              <w:rPr>
                <w:rFonts w:ascii="Times New Roman" w:cs="Times New Roman" w:eastAsia="Times New Roman" w:hAnsi="Times New Roman"/>
                <w:sz w:val="18"/>
                <w:szCs w:val="18"/>
                <w:color w:val="auto"/>
              </w:rPr>
              <w:t>$27.64</w:t>
            </w:r>
          </w:p>
        </w:tc>
        <w:tc>
          <w:tcPr>
            <w:tcW w:w="760" w:type="dxa"/>
            <w:vAlign w:val="bottom"/>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rPr>
              <w:t>$20.85</w:t>
            </w:r>
          </w:p>
        </w:tc>
        <w:tc>
          <w:tcPr>
            <w:tcW w:w="1300" w:type="dxa"/>
            <w:vAlign w:val="bottom"/>
          </w:tcPr>
          <w:p>
            <w:pPr>
              <w:spacing w:after="0"/>
              <w:rPr>
                <w:sz w:val="18"/>
                <w:szCs w:val="18"/>
                <w:color w:val="auto"/>
              </w:rPr>
            </w:pPr>
          </w:p>
        </w:tc>
      </w:tr>
      <w:tr>
        <w:trPr>
          <w:trHeight w:val="234"/>
        </w:trPr>
        <w:tc>
          <w:tcPr>
            <w:tcW w:w="1300" w:type="dxa"/>
            <w:vAlign w:val="bottom"/>
          </w:tcPr>
          <w:p>
            <w:pPr>
              <w:spacing w:after="0"/>
              <w:rPr>
                <w:sz w:val="20"/>
                <w:szCs w:val="20"/>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4160" w:type="dxa"/>
            <w:vAlign w:val="bottom"/>
            <w:gridSpan w:val="2"/>
          </w:tcPr>
          <w:p>
            <w:pPr>
              <w:jc w:val="center"/>
              <w:ind w:left="3570"/>
              <w:spacing w:after="0"/>
              <w:rPr>
                <w:sz w:val="20"/>
                <w:szCs w:val="20"/>
                <w:color w:val="auto"/>
              </w:rPr>
            </w:pPr>
            <w:r>
              <w:rPr>
                <w:rFonts w:ascii="Times New Roman" w:cs="Times New Roman" w:eastAsia="Times New Roman" w:hAnsi="Times New Roman"/>
                <w:sz w:val="18"/>
                <w:szCs w:val="18"/>
                <w:color w:val="auto"/>
              </w:rPr>
              <w:t>$27.16</w:t>
            </w:r>
          </w:p>
        </w:tc>
        <w:tc>
          <w:tcPr>
            <w:tcW w:w="76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rPr>
              <w:t>$19.84</w:t>
            </w:r>
          </w:p>
        </w:tc>
        <w:tc>
          <w:tcPr>
            <w:tcW w:w="1300" w:type="dxa"/>
            <w:vAlign w:val="bottom"/>
          </w:tcPr>
          <w:p>
            <w:pPr>
              <w:spacing w:after="0"/>
              <w:rPr>
                <w:sz w:val="20"/>
                <w:szCs w:val="20"/>
                <w:color w:val="auto"/>
              </w:rPr>
            </w:pPr>
          </w:p>
        </w:tc>
      </w:tr>
      <w:tr>
        <w:trPr>
          <w:trHeight w:val="468"/>
        </w:trPr>
        <w:tc>
          <w:tcPr>
            <w:tcW w:w="13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3660" w:type="dxa"/>
            <w:vAlign w:val="bottom"/>
          </w:tcPr>
          <w:p>
            <w:pPr>
              <w:jc w:val="right"/>
              <w:ind w:right="2770"/>
              <w:spacing w:after="0"/>
              <w:rPr>
                <w:sz w:val="20"/>
                <w:szCs w:val="20"/>
                <w:color w:val="auto"/>
              </w:rPr>
            </w:pPr>
            <w:r>
              <w:rPr>
                <w:rFonts w:ascii="Times New Roman" w:cs="Times New Roman" w:eastAsia="Times New Roman" w:hAnsi="Times New Roman"/>
                <w:sz w:val="18"/>
                <w:szCs w:val="18"/>
                <w:color w:val="auto"/>
              </w:rPr>
              <w:t>19</w:t>
            </w: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3500" w:type="dxa"/>
            <w:vAlign w:val="bottom"/>
            <w:tcBorders>
              <w:bottom w:val="single" w:sz="8" w:color="auto"/>
            </w:tcBorders>
          </w:tcPr>
          <w:p>
            <w:pPr>
              <w:spacing w:after="0"/>
              <w:rPr>
                <w:sz w:val="15"/>
                <w:szCs w:val="15"/>
                <w:color w:val="auto"/>
              </w:rPr>
            </w:pPr>
          </w:p>
        </w:tc>
        <w:tc>
          <w:tcPr>
            <w:tcW w:w="36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3" w:right="439" w:bottom="1440" w:gutter="0" w:footer="0" w:header="0"/>
        </w:sectPr>
      </w:pPr>
    </w:p>
    <w:bookmarkStart w:id="28" w:name="page29"/>
    <w:bookmarkEnd w:id="28"/>
    <w:p>
      <w:pPr>
        <w:spacing w:after="0" w:line="1"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6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407"/>
        </w:trPr>
        <w:tc>
          <w:tcPr>
            <w:tcW w:w="1540" w:type="dxa"/>
            <w:vAlign w:val="bottom"/>
            <w:tcBorders>
              <w:top w:val="single" w:sz="8" w:color="0000EE"/>
            </w:tcBorders>
          </w:tcPr>
          <w:p>
            <w:pPr>
              <w:spacing w:after="0"/>
              <w:rPr>
                <w:sz w:val="24"/>
                <w:szCs w:val="24"/>
                <w:color w:val="auto"/>
              </w:rPr>
            </w:pPr>
          </w:p>
        </w:tc>
        <w:tc>
          <w:tcPr>
            <w:tcW w:w="5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High</w:t>
            </w:r>
          </w:p>
        </w:tc>
        <w:tc>
          <w:tcPr>
            <w:tcW w:w="240" w:type="dxa"/>
            <w:vAlign w:val="bottom"/>
          </w:tcPr>
          <w:p>
            <w:pPr>
              <w:spacing w:after="0"/>
              <w:rPr>
                <w:sz w:val="24"/>
                <w:szCs w:val="24"/>
                <w:color w:val="auto"/>
              </w:rPr>
            </w:pPr>
          </w:p>
        </w:tc>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Low</w:t>
            </w:r>
          </w:p>
        </w:tc>
      </w:tr>
      <w:tr>
        <w:trPr>
          <w:trHeight w:val="228"/>
        </w:trPr>
        <w:tc>
          <w:tcPr>
            <w:tcW w:w="6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Fiscal Year Ending December 31, 2026</w:t>
            </w:r>
          </w:p>
        </w:tc>
        <w:tc>
          <w:tcPr>
            <w:tcW w:w="2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r>
      <w:tr>
        <w:trPr>
          <w:trHeight w:val="216"/>
        </w:trPr>
        <w:tc>
          <w:tcPr>
            <w:tcW w:w="6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74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rPr>
              <w:t>$26.81</w:t>
            </w:r>
          </w:p>
        </w:tc>
        <w:tc>
          <w:tcPr>
            <w:tcW w:w="76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rPr>
              <w:t>$18.80</w:t>
            </w:r>
          </w:p>
        </w:tc>
      </w:tr>
      <w:tr>
        <w:trPr>
          <w:trHeight w:val="216"/>
        </w:trPr>
        <w:tc>
          <w:tcPr>
            <w:tcW w:w="6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740" w:type="dxa"/>
            <w:vAlign w:val="bottom"/>
            <w:gridSpan w:val="2"/>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rPr>
              <w:t>$27.13</w:t>
            </w:r>
          </w:p>
        </w:tc>
        <w:tc>
          <w:tcPr>
            <w:tcW w:w="760" w:type="dxa"/>
            <w:vAlign w:val="bottom"/>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rPr>
              <w:t>$21.92</w:t>
            </w:r>
          </w:p>
        </w:tc>
      </w:tr>
      <w:tr>
        <w:trPr>
          <w:trHeight w:val="216"/>
        </w:trPr>
        <w:tc>
          <w:tcPr>
            <w:tcW w:w="6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74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rPr>
              <w:t>$27.66</w:t>
            </w:r>
          </w:p>
        </w:tc>
        <w:tc>
          <w:tcPr>
            <w:tcW w:w="76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rPr>
              <w:t>$22.79</w:t>
            </w:r>
          </w:p>
        </w:tc>
      </w:tr>
      <w:tr>
        <w:trPr>
          <w:trHeight w:val="216"/>
        </w:trPr>
        <w:tc>
          <w:tcPr>
            <w:tcW w:w="6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Fourth Quarter (through October 29, 2026)</w:t>
            </w:r>
          </w:p>
        </w:tc>
        <w:tc>
          <w:tcPr>
            <w:tcW w:w="740" w:type="dxa"/>
            <w:vAlign w:val="bottom"/>
            <w:gridSpan w:val="2"/>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rPr>
              <w:t>$36.67</w:t>
            </w:r>
          </w:p>
        </w:tc>
        <w:tc>
          <w:tcPr>
            <w:tcW w:w="760" w:type="dxa"/>
            <w:vAlign w:val="bottom"/>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rPr>
              <w:t>$24.66</w:t>
            </w:r>
          </w:p>
        </w:tc>
      </w:tr>
      <w:tr>
        <w:trPr>
          <w:trHeight w:val="54"/>
        </w:trPr>
        <w:tc>
          <w:tcPr>
            <w:tcW w:w="1540" w:type="dxa"/>
            <w:vAlign w:val="bottom"/>
            <w:shd w:val="clear" w:color="auto" w:fill="CCEEFF"/>
          </w:tcPr>
          <w:p>
            <w:pPr>
              <w:spacing w:after="0"/>
              <w:rPr>
                <w:sz w:val="4"/>
                <w:szCs w:val="4"/>
                <w:color w:val="auto"/>
              </w:rPr>
            </w:pPr>
          </w:p>
        </w:tc>
        <w:tc>
          <w:tcPr>
            <w:tcW w:w="538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520" w:type="dxa"/>
            <w:vAlign w:val="bottom"/>
            <w:shd w:val="clear" w:color="auto" w:fill="CCEEFF"/>
          </w:tcPr>
          <w:p>
            <w:pPr>
              <w:spacing w:after="0"/>
              <w:rPr>
                <w:sz w:val="4"/>
                <w:szCs w:val="4"/>
                <w:color w:val="auto"/>
              </w:rPr>
            </w:pPr>
          </w:p>
        </w:tc>
      </w:tr>
    </w:tbl>
    <w:p>
      <w:pPr>
        <w:spacing w:after="0" w:line="90" w:lineRule="exact"/>
        <w:rPr>
          <w:sz w:val="20"/>
          <w:szCs w:val="20"/>
          <w:color w:val="auto"/>
        </w:rPr>
      </w:pPr>
    </w:p>
    <w:p>
      <w:pPr>
        <w:ind w:left="300" w:right="379" w:firstLine="360"/>
        <w:spacing w:after="0" w:line="258" w:lineRule="auto"/>
        <w:rPr>
          <w:sz w:val="20"/>
          <w:szCs w:val="20"/>
          <w:color w:val="auto"/>
        </w:rPr>
      </w:pPr>
      <w:r>
        <w:rPr>
          <w:rFonts w:ascii="Times New Roman" w:cs="Times New Roman" w:eastAsia="Times New Roman" w:hAnsi="Times New Roman"/>
          <w:sz w:val="18"/>
          <w:szCs w:val="18"/>
          <w:color w:val="auto"/>
        </w:rPr>
        <w:t xml:space="preserve">On October 7, 2026, the last full trading day prior to the public announcement of the execution of the Merger Agreement, the closing sale price per Share reported on the Nasdaq Global Select Market was $25.20 per Share. On October 29, 2026, the last full day of trading prior to the commencement of the Offer, the closing sale price per Share reported on the Nasdaq Global Select Market was $36.39. </w:t>
      </w:r>
      <w:r>
        <w:rPr>
          <w:rFonts w:ascii="Times New Roman" w:cs="Times New Roman" w:eastAsia="Times New Roman" w:hAnsi="Times New Roman"/>
          <w:sz w:val="18"/>
          <w:szCs w:val="18"/>
          <w:b w:val="1"/>
          <w:bCs w:val="1"/>
          <w:color w:val="auto"/>
        </w:rPr>
        <w:t>Stockholders are urged to obtain a current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market quotation for the Shares before deciding whether to tender your Shares.</w:t>
      </w:r>
    </w:p>
    <w:p>
      <w:pPr>
        <w:spacing w:after="0" w:line="75" w:lineRule="exact"/>
        <w:rPr>
          <w:sz w:val="20"/>
          <w:szCs w:val="20"/>
          <w:color w:val="auto"/>
        </w:rPr>
      </w:pPr>
    </w:p>
    <w:p>
      <w:pPr>
        <w:ind w:left="300" w:right="339" w:firstLine="360"/>
        <w:spacing w:after="0" w:line="255" w:lineRule="auto"/>
        <w:rPr>
          <w:sz w:val="20"/>
          <w:szCs w:val="20"/>
          <w:color w:val="auto"/>
        </w:rPr>
      </w:pPr>
      <w:r>
        <w:rPr>
          <w:rFonts w:ascii="Times New Roman" w:cs="Times New Roman" w:eastAsia="Times New Roman" w:hAnsi="Times New Roman"/>
          <w:sz w:val="18"/>
          <w:szCs w:val="18"/>
          <w:color w:val="auto"/>
        </w:rPr>
        <w:t>According to Pacira’s Annual Report on Form 10-K for the year ended December 31, 2025 filed with the SEC, Pacira has never declared or paid any dividends on the Shares and it intended to retain any future earnings to finance the future development and expansion of its business, and did not expect to pay dividends on the Shares in the foreseeable future. Under the Merger Agreement, Pacira is not permitted to establish a record date for, declare, accrue, set aside or pay any dividends or make any other distribution with respect to the Shares without the prior written consent of Viatris (which consent will not be unreasonably withheld, conditioned or delayed) or except as required by applicable law.</w:t>
      </w:r>
    </w:p>
    <w:p>
      <w:pPr>
        <w:spacing w:after="0" w:line="185" w:lineRule="exact"/>
        <w:rPr>
          <w:sz w:val="20"/>
          <w:szCs w:val="20"/>
          <w:color w:val="auto"/>
        </w:rPr>
      </w:pPr>
    </w:p>
    <w:p>
      <w:pPr>
        <w:ind w:left="640" w:hanging="348"/>
        <w:spacing w:after="0"/>
        <w:tabs>
          <w:tab w:leader="none" w:pos="64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Information Concerning Pacira.</w:t>
      </w:r>
    </w:p>
    <w:p>
      <w:pPr>
        <w:spacing w:after="0" w:line="121" w:lineRule="exact"/>
        <w:rPr>
          <w:sz w:val="20"/>
          <w:szCs w:val="20"/>
          <w:color w:val="auto"/>
        </w:rPr>
      </w:pPr>
    </w:p>
    <w:p>
      <w:pPr>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Pacira was incorporated in Delaware under the name Blue Acquisition Corp. in December 2006 and changed its name to Pacira, Inc. in June 2007. In October 2010, Pacira changed its name to Pacira Pharmaceuticals, Inc. and in April 2019, Pacira changed its name to Pacira BioSciences, Inc. Pacira’s principal executive offices and corporate headquarters are located at 2000 Sierra Point Parkway, Suite 900, Brisbane, CA 94005. Pacira’s telephone number is (650) 242-8052. Pacira’s common stock is listed on the Nasdaq Global Select Market under the symbol “PCRX”. The following description of Pacira and its business has been derived from Pacira’s Annual Report on Form 10-K for the fiscal year ended December 31, 2025 and Quarterly Report on Form 10-Q for the fiscal quarter ended June 30, 2026, and is qualified in its entirety by reference to such reports.</w:t>
      </w:r>
    </w:p>
    <w:p>
      <w:pPr>
        <w:spacing w:after="0" w:line="84" w:lineRule="exact"/>
        <w:rPr>
          <w:sz w:val="20"/>
          <w:szCs w:val="20"/>
          <w:color w:val="auto"/>
        </w:rPr>
      </w:pPr>
    </w:p>
    <w:p>
      <w:pPr>
        <w:ind w:left="300" w:right="379" w:firstLine="360"/>
        <w:spacing w:after="0" w:line="252" w:lineRule="auto"/>
        <w:rPr>
          <w:sz w:val="20"/>
          <w:szCs w:val="20"/>
          <w:color w:val="auto"/>
        </w:rPr>
      </w:pPr>
      <w:r>
        <w:rPr>
          <w:rFonts w:ascii="Times New Roman" w:cs="Times New Roman" w:eastAsia="Times New Roman" w:hAnsi="Times New Roman"/>
          <w:sz w:val="18"/>
          <w:szCs w:val="18"/>
          <w:color w:val="auto"/>
        </w:rPr>
        <w:t>Pacira’s mission is to deliver innovative, non-opioid pain therapies to transform the lives of patients. Pacira is focused in two therapeutic areas as defined by the indications within its approved commercial portfolio and the indications it is pursuing within its clinical development pipeline. One area is postsurgical pain control and the second is early intervention osteoarthritis (“OA”) pain management. EXPAREL is Pacira’s long-acting, non-opioid analgesic for postsurgical pain control. EXPAREL utilizes Pacira’s unique proprietary multivesicular liposome drug delivery technology that encapsulates drugs without altering their molecular structure and releases them over a desired period of time. In the U.S., EXPAREL is the only product indicated for local analgesia via infiltration in patients aged six years and older and regional analgesia via interscalene brachial plexus nerve block, sciatic nerve block in the popliteal fossa and adductor canal block in adults. In Europe, EXPAREL is approved as a brachial plexus block or femoral nerve block for treatment of post-operative pain in adults, and as a field block for treatment of somatic post-operative pain from small- to medium-sized surgical wounds in adults and children aged six years and older. Pacira drop-ships EXPAREL directly to end-users based on orders placed to wholesalers or directly to Pacira. ZILRETTA is Pacira’s extended-release corticosteroid approved to manage OA knee pain. With a single injection, ZILRETTA can significantly reduce knee pain for three months of relief. ZILRETTA is a potential alternative to hyaluronic acid platelet rich plasma injections or other early intervention treatments. EXPAREL and ZILRETTA are highly complementary products as long-acting, non-opioid therapies that alleviate pain. Pacira is also advancing two Phase 2 clinical programs—PCRX-201 (enekinragene inzadenovec), a novel, locally administered gene therapy for the treatment of OA of the knee, and PCRX-2002, a complementary, long-acting formulation of the non-opioid analgesic ropivacaine for postsurgical pain control. PCRX-201 is the lead program from Pacira’s proprietary high-capacity adenovirus vector platform, which enables local administration of genetic medicines and has the potential to unlock gene therapy for large prevalent diseases affecting millions of people.</w:t>
      </w:r>
    </w:p>
    <w:p>
      <w:pPr>
        <w:spacing w:after="0" w:line="80" w:lineRule="exact"/>
        <w:rPr>
          <w:sz w:val="20"/>
          <w:szCs w:val="20"/>
          <w:color w:val="auto"/>
        </w:rPr>
      </w:pPr>
    </w:p>
    <w:p>
      <w:pPr>
        <w:ind w:left="300" w:right="759" w:firstLine="360"/>
        <w:spacing w:after="0" w:line="266" w:lineRule="auto"/>
        <w:rPr>
          <w:sz w:val="20"/>
          <w:szCs w:val="20"/>
          <w:color w:val="auto"/>
        </w:rPr>
      </w:pPr>
      <w:r>
        <w:rPr>
          <w:rFonts w:ascii="Times New Roman" w:cs="Times New Roman" w:eastAsia="Times New Roman" w:hAnsi="Times New Roman"/>
          <w:sz w:val="18"/>
          <w:szCs w:val="18"/>
          <w:color w:val="auto"/>
        </w:rPr>
        <w:t>In July 2026, Pacira completed the divestiture of iovera°, a handheld cryoanalgesia device that delivers immediate, long-acting, drug-free pain control using precise, controlled doses of cold temperature to a targeted nerve, to Zimmer, Inc., a subsidiary of Zimmer Biomet Holdings, Inc.</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29" w:name="page30"/>
    <w:bookmarkEnd w:id="2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p>
      <w:pPr>
        <w:ind w:left="300" w:right="399"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Available Information. </w:t>
      </w:r>
      <w:r>
        <w:rPr>
          <w:rFonts w:ascii="Times New Roman" w:cs="Times New Roman" w:eastAsia="Times New Roman" w:hAnsi="Times New Roman"/>
          <w:sz w:val="18"/>
          <w:szCs w:val="18"/>
          <w:color w:val="auto"/>
        </w:rPr>
        <w:t>The Shares are registered under the Exchange Act. Accordingly, Pacira is subject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reporting requirements of the Exchange Act and, in accordance therewith, is required to file periodic reports, proxy statements and other information with the SEC relating to its business, financial condition and other matters. Information as of particular dates concerning Pacira’s directors and officers, their remuneration, stock options, restricted stock units and performance share units granted to them, the principal holders of Pacira’s securities, any material interests of such persons in transactions with Pacira and other matters is required to be disclosed in proxy statements, the most recent one having been originally filed with the SEC on April 28, 2026. Such reports, proxy statements and other information are available for inspection through the SEC’s website on the Internet at www.sec.gov.</w:t>
      </w:r>
    </w:p>
    <w:p>
      <w:pPr>
        <w:spacing w:after="0" w:line="186" w:lineRule="exact"/>
        <w:rPr>
          <w:sz w:val="20"/>
          <w:szCs w:val="20"/>
          <w:color w:val="auto"/>
        </w:rPr>
      </w:pPr>
    </w:p>
    <w:p>
      <w:pPr>
        <w:ind w:left="640" w:hanging="348"/>
        <w:spacing w:after="0"/>
        <w:tabs>
          <w:tab w:leader="none" w:pos="64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Information Concerning Viatris and Purchaser.</w:t>
      </w:r>
    </w:p>
    <w:p>
      <w:pPr>
        <w:spacing w:after="0" w:line="121" w:lineRule="exact"/>
        <w:rPr>
          <w:sz w:val="20"/>
          <w:szCs w:val="20"/>
          <w:color w:val="auto"/>
        </w:rPr>
      </w:pPr>
    </w:p>
    <w:p>
      <w:pPr>
        <w:ind w:left="300" w:right="379" w:firstLine="360"/>
        <w:spacing w:after="0" w:line="256" w:lineRule="auto"/>
        <w:rPr>
          <w:sz w:val="20"/>
          <w:szCs w:val="20"/>
          <w:color w:val="auto"/>
        </w:rPr>
      </w:pPr>
      <w:r>
        <w:rPr>
          <w:rFonts w:ascii="Times New Roman" w:cs="Times New Roman" w:eastAsia="Times New Roman" w:hAnsi="Times New Roman"/>
          <w:sz w:val="18"/>
          <w:szCs w:val="18"/>
          <w:color w:val="auto"/>
        </w:rPr>
        <w:t>Viatris is a Delaware corporation and direct parent of Purchaser. Viatris’ principal executive offices are located at 1000 Mylan Boulevard, Canonsburg, PA 15317. The telephone number of Viatris is (724) 514-1800. Viatris is a global healthcare company formed in November 2020 whose mission is to empower people worldwide to live healthier at every stage of life. Viatris has a global footprint, an extensive portfolio of medicines that is well-diversified across therapeutic areas, a one-of-a-kind global supply chain designed to reach more people when and where they need them and the scientific expertise to address some of the world’s most enduring health challenges.</w:t>
      </w:r>
    </w:p>
    <w:p>
      <w:pPr>
        <w:spacing w:after="0" w:line="79"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Purchaser is a Delaware corporation formed on October 2, 2026, solely for the purpose of effecting the Offer and the Merger and has conducted no business activities other than those related to the structuring and negotiation of the Offer and the Merger. Purchaser has no assets or liabilities other than the contractual rights and obligations related to the Merger Agreement. Upon the completion of the Merger, Purchaser’s separate corporate existence will cease and Pacira will continue as the Surviving Corporation. Until immediately prior to the time Purchaser accepts for payment Shares pursuant to the Offer, it is not anticipated that Purchaser will have any assets or liabilities or engage in activities other than those incidental to its formation and capitalization and the transactions contemplated by the Offer and the Merger. Purchaser is a wholly owned subsidiary of Viatris. The principal executive offices for Purchaser are located at 1000 Mylan Boulevard, Canonsburg, PA 15317. The telephone number of Purchaser is (724) 514-1800.</w:t>
      </w:r>
    </w:p>
    <w:p>
      <w:pPr>
        <w:spacing w:after="0" w:line="86" w:lineRule="exact"/>
        <w:rPr>
          <w:sz w:val="20"/>
          <w:szCs w:val="20"/>
          <w:color w:val="auto"/>
        </w:rPr>
      </w:pPr>
    </w:p>
    <w:p>
      <w:pPr>
        <w:ind w:left="300" w:right="479" w:firstLine="360"/>
        <w:spacing w:after="0" w:line="266" w:lineRule="auto"/>
        <w:rPr>
          <w:sz w:val="20"/>
          <w:szCs w:val="20"/>
          <w:color w:val="auto"/>
        </w:rPr>
      </w:pPr>
      <w:r>
        <w:rPr>
          <w:rFonts w:ascii="Times New Roman" w:cs="Times New Roman" w:eastAsia="Times New Roman" w:hAnsi="Times New Roman"/>
          <w:sz w:val="18"/>
          <w:szCs w:val="18"/>
          <w:color w:val="auto"/>
        </w:rPr>
        <w:t>The name, citizenship, business address, present principal occupation or employment and five-year employment history of each of the directors and executive officers of Viatris and Purchaser are listed in Schedule I to this Offer to Purchase.</w:t>
      </w:r>
    </w:p>
    <w:p>
      <w:pPr>
        <w:spacing w:after="0" w:line="68" w:lineRule="exact"/>
        <w:rPr>
          <w:sz w:val="20"/>
          <w:szCs w:val="20"/>
          <w:color w:val="auto"/>
        </w:rPr>
      </w:pPr>
    </w:p>
    <w:p>
      <w:pPr>
        <w:ind w:left="300" w:right="319" w:firstLine="360"/>
        <w:spacing w:after="0" w:line="268" w:lineRule="auto"/>
        <w:rPr>
          <w:sz w:val="20"/>
          <w:szCs w:val="20"/>
          <w:color w:val="auto"/>
        </w:rPr>
      </w:pPr>
      <w:r>
        <w:rPr>
          <w:rFonts w:ascii="Times New Roman" w:cs="Times New Roman" w:eastAsia="Times New Roman" w:hAnsi="Times New Roman"/>
          <w:sz w:val="17"/>
          <w:szCs w:val="17"/>
          <w:color w:val="auto"/>
        </w:rPr>
        <w:t>During the last five (5) years, neither Viatris nor Purchaser or, to the best knowledge of Viatris and Purchaser, any of the persons listed in Schedule I to this Offer to Purchase (i) has been convicted in a criminal proceeding (excluding traffic violations or similar misdemeanors) or (ii) was a party to any judicial or administrative proceeding (except for matters that were dismissed without sanction or settlement) that resulted in a judgment, decree or final order enjoining such person from future violations of, or prohibiting activities subject to, federal or state securities laws, or a finding of any violation of such laws. Except as provided in the Merger Agreement or as otherwise described in this Offer to Purchase, (i) none of Viatris or Purchaser or, to the best knowledge of Viatris and Purchaser, any of the persons listed in Schedule I to this Offer to Purchase or any associate or majority-owned subsidiary of Viatris or Purchaser, or any of the persons so listed beneficially owns or has any right to acquire, directly or indirectly, any Shares and (ii) neither Viatris nor Purchaser or, to the best knowledge of Viatris and Purchaser, any of the persons or entities referred to in Schedule I hereto nor any director, executive officer or subsidiary of any of the foregoing has effected any transaction in respect of any Shares during the past 60 days. Except as provided in the Merger Agreement or as otherwise described in this Offer to Purchase, neither Viatris nor Purchaser or, to the best knowledge of Viatris and Purchaser, any of the persons listed in Schedule I to this Offer to Purchase, has any contract, arrangement, understanding or relationship with any other person with respect to any securities of Pacira (including, but not limited to, any contract, arrangement, understanding or relationship concerning the transfer or the voting of any such securities, joint ventures, loan or option arrangements, puts or calls, guaranties of loans, guaranties against loss, or the giving or withholding of proxies, consents or authorizations).</w:t>
      </w:r>
    </w:p>
    <w:p>
      <w:pPr>
        <w:spacing w:after="0" w:line="285" w:lineRule="exact"/>
        <w:rPr>
          <w:sz w:val="20"/>
          <w:szCs w:val="20"/>
          <w:color w:val="auto"/>
        </w:rPr>
      </w:pPr>
    </w:p>
    <w:p>
      <w:pPr>
        <w:ind w:left="300" w:right="519" w:firstLine="360"/>
        <w:spacing w:after="0" w:line="281" w:lineRule="auto"/>
        <w:rPr>
          <w:sz w:val="20"/>
          <w:szCs w:val="20"/>
          <w:color w:val="auto"/>
        </w:rPr>
      </w:pPr>
      <w:r>
        <w:rPr>
          <w:rFonts w:ascii="Times New Roman" w:cs="Times New Roman" w:eastAsia="Times New Roman" w:hAnsi="Times New Roman"/>
          <w:sz w:val="17"/>
          <w:szCs w:val="17"/>
          <w:color w:val="auto"/>
        </w:rPr>
        <w:t>Except as set forth in this Offer to Purchase, neither Viatris nor Purchaser or, to the best knowledge of Viatris and Purchaser, any of the persons listed in Schedule I hereto, has had any business relationship or transaction with Pacira or any of its executive officers, directors or affiliates that is required to be reported under the rules and regulations of the SEC applicable to the Offer. Except as set forth in this Offer to Purchase, there have been no</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0" w:name="page31"/>
    <w:bookmarkEnd w:id="3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contacts, negotiations or transactions between Viatris or Purchaser or any of their subsidiaries, or, to the best</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knowledge of Viatris and Purchaser, any of the persons listed in Schedule I to this Offer to Purchase, on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one hand, and Pacira or its affiliates, on the other hand, concerning a merger, consolidation or acquisition, tender</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offer or other acquisition of securities, an election of directors or a sale or other transfer of a material amount of</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assets during the past two (2) years.</w:t>
      </w:r>
    </w:p>
    <w:p>
      <w:pPr>
        <w:spacing w:after="0" w:line="97" w:lineRule="exact"/>
        <w:rPr>
          <w:sz w:val="20"/>
          <w:szCs w:val="20"/>
          <w:color w:val="auto"/>
        </w:rPr>
      </w:pPr>
    </w:p>
    <w:p>
      <w:pPr>
        <w:ind w:left="300" w:right="43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Available Information</w:t>
      </w:r>
      <w:r>
        <w:rPr>
          <w:rFonts w:ascii="Times New Roman" w:cs="Times New Roman" w:eastAsia="Times New Roman" w:hAnsi="Times New Roman"/>
          <w:sz w:val="18"/>
          <w:szCs w:val="18"/>
          <w:color w:val="auto"/>
        </w:rPr>
        <w:t>. Pursuant to Rule 14d-3 under the Exchange Act, we have filed with the SEC a Tender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Offer Statement on Schedule TO (the “Schedule TO”), of which this Offer to Purchase forms a part, and exhibits to the Schedule TO. The Schedule TO and the exhibits thereto, as well as other information filed by Viatris and Purchaser with the SEC, are available at the SEC’s website at www.sec.gov that contains the Schedule TO and the exhibits thereto and other information that Purchaser has filed electronically with the SEC.</w:t>
      </w:r>
    </w:p>
    <w:p>
      <w:pPr>
        <w:spacing w:after="0" w:line="181" w:lineRule="exact"/>
        <w:rPr>
          <w:sz w:val="20"/>
          <w:szCs w:val="20"/>
          <w:color w:val="auto"/>
        </w:rPr>
      </w:pPr>
    </w:p>
    <w:p>
      <w:pPr>
        <w:ind w:left="640" w:hanging="348"/>
        <w:spacing w:after="0"/>
        <w:tabs>
          <w:tab w:leader="none" w:pos="64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Source and Amount of Funds.</w:t>
      </w:r>
    </w:p>
    <w:p>
      <w:pPr>
        <w:spacing w:after="0" w:line="121" w:lineRule="exact"/>
        <w:rPr>
          <w:sz w:val="20"/>
          <w:szCs w:val="20"/>
          <w:color w:val="auto"/>
        </w:rPr>
      </w:pPr>
    </w:p>
    <w:p>
      <w:pPr>
        <w:ind w:left="300" w:right="339" w:firstLine="360"/>
        <w:spacing w:after="0" w:line="269" w:lineRule="auto"/>
        <w:rPr>
          <w:sz w:val="20"/>
          <w:szCs w:val="20"/>
          <w:color w:val="auto"/>
        </w:rPr>
      </w:pPr>
      <w:r>
        <w:rPr>
          <w:rFonts w:ascii="Times New Roman" w:cs="Times New Roman" w:eastAsia="Times New Roman" w:hAnsi="Times New Roman"/>
          <w:sz w:val="17"/>
          <w:szCs w:val="17"/>
          <w:color w:val="auto"/>
        </w:rPr>
        <w:t>Each of Viatris’ and Purchaser’s obligation to commence the Offer and close the Merger is not conditioned on its ability to obtain financing. Viatris has represented to Pacira that it currently has, and will have at the Offer Acceptance Time and the Effective Time, cash or other financial resources sufficient to enable Viatris and Purchaser to consummate the transactions contemplated by the Merger Agreement, including the Offer and the Merger, and the payment of all related fees and expenses incurred in connection therewith, and to discharge all of Viatris’ and Purchaser’s other liabilities as they become due. Viatris estimates that the total amount of funds required by Viatris and Purchaser to fund payments in respect of certain outstanding Pacira Options, Pacira RSUs, Pacira PSUs, Pacira LTIP Awards, and Pacira Restricted Cash Awards (each as defined below) and to make payments, if any, required at the Effective Time in connection with the Convertible Notes, the Capped Call Transactions and the Payoff Amounts is approximately $554.0 million, excluding related fees and expenses. Viatris and Purchaser expect to finance the Offer, the Merger, and any fees, costs and expenses with cash on hand and short-term borrowings.</w:t>
      </w:r>
    </w:p>
    <w:p>
      <w:pPr>
        <w:spacing w:after="0" w:line="17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10.  Background of the Offer; Past Contacts or Negotiations with Pacira.</w:t>
      </w:r>
    </w:p>
    <w:p>
      <w:pPr>
        <w:spacing w:after="0" w:line="121" w:lineRule="exact"/>
        <w:rPr>
          <w:sz w:val="20"/>
          <w:szCs w:val="20"/>
          <w:color w:val="auto"/>
        </w:rPr>
      </w:pPr>
    </w:p>
    <w:p>
      <w:pPr>
        <w:ind w:left="300" w:right="379" w:firstLine="360"/>
        <w:spacing w:after="0" w:line="261" w:lineRule="auto"/>
        <w:rPr>
          <w:sz w:val="20"/>
          <w:szCs w:val="20"/>
          <w:color w:val="auto"/>
        </w:rPr>
      </w:pPr>
      <w:r>
        <w:rPr>
          <w:rFonts w:ascii="Times New Roman" w:cs="Times New Roman" w:eastAsia="Times New Roman" w:hAnsi="Times New Roman"/>
          <w:sz w:val="18"/>
          <w:szCs w:val="18"/>
          <w:color w:val="auto"/>
        </w:rPr>
        <w:t>The following is a description of material contacts between representatives of Viatris and/or Purchaser and representatives of Pacira that resulted in the execution of the Merger Agreement. For a review of Pacira’s additional activities, please refer to Pacira’s Schedule 14D-9 that will be filed with the SEC and mailed to Pacira’s stockholders.</w:t>
      </w:r>
    </w:p>
    <w:p>
      <w:pPr>
        <w:spacing w:after="0" w:line="72" w:lineRule="exact"/>
        <w:rPr>
          <w:sz w:val="20"/>
          <w:szCs w:val="20"/>
          <w:color w:val="auto"/>
        </w:rPr>
      </w:pPr>
    </w:p>
    <w:p>
      <w:pPr>
        <w:ind w:left="300" w:right="439" w:firstLine="360"/>
        <w:spacing w:after="0" w:line="261" w:lineRule="auto"/>
        <w:rPr>
          <w:sz w:val="20"/>
          <w:szCs w:val="20"/>
          <w:color w:val="auto"/>
        </w:rPr>
      </w:pPr>
      <w:r>
        <w:rPr>
          <w:rFonts w:ascii="Times New Roman" w:cs="Times New Roman" w:eastAsia="Times New Roman" w:hAnsi="Times New Roman"/>
          <w:sz w:val="18"/>
          <w:szCs w:val="18"/>
          <w:color w:val="auto"/>
        </w:rPr>
        <w:t>From time to time in the ordinary course of business, Viatris management and the board of directors of Viatris (the “Viatris Board”) evaluate various business opportunities in an effort to enhance stockholder value and to complement and enhance its existing businesses. As part of this process, Viatris management and the Viatris Board consider a number of potential strategic transactions, including potential acquisitions.</w:t>
      </w:r>
    </w:p>
    <w:p>
      <w:pPr>
        <w:spacing w:after="0" w:line="72" w:lineRule="exact"/>
        <w:rPr>
          <w:sz w:val="20"/>
          <w:szCs w:val="20"/>
          <w:color w:val="auto"/>
        </w:rPr>
      </w:pPr>
    </w:p>
    <w:p>
      <w:pPr>
        <w:ind w:left="300" w:right="379" w:firstLine="360"/>
        <w:spacing w:after="0" w:line="261" w:lineRule="auto"/>
        <w:rPr>
          <w:sz w:val="20"/>
          <w:szCs w:val="20"/>
          <w:color w:val="auto"/>
        </w:rPr>
      </w:pPr>
      <w:r>
        <w:rPr>
          <w:rFonts w:ascii="Times New Roman" w:cs="Times New Roman" w:eastAsia="Times New Roman" w:hAnsi="Times New Roman"/>
          <w:sz w:val="18"/>
          <w:szCs w:val="18"/>
          <w:color w:val="auto"/>
        </w:rPr>
        <w:t>In June 2025, following an initial outreach by representatives of Pacira’s business development team, representatives of Pacira met with representatives of Viatris at the BIO International Convention in Boston, Massachusetts regarding a potential opportunity to commercialize EXPAREL and/or ZILRETTA in markets outside the United States (the “ex-U.S. Opportunity”).</w:t>
      </w:r>
    </w:p>
    <w:p>
      <w:pPr>
        <w:spacing w:after="0" w:line="72" w:lineRule="exact"/>
        <w:rPr>
          <w:sz w:val="20"/>
          <w:szCs w:val="20"/>
          <w:color w:val="auto"/>
        </w:rPr>
      </w:pPr>
    </w:p>
    <w:p>
      <w:pPr>
        <w:ind w:left="300" w:right="319" w:firstLine="360"/>
        <w:spacing w:after="0" w:line="281" w:lineRule="auto"/>
        <w:rPr>
          <w:sz w:val="20"/>
          <w:szCs w:val="20"/>
          <w:color w:val="auto"/>
        </w:rPr>
      </w:pPr>
      <w:r>
        <w:rPr>
          <w:rFonts w:ascii="Times New Roman" w:cs="Times New Roman" w:eastAsia="Times New Roman" w:hAnsi="Times New Roman"/>
          <w:sz w:val="17"/>
          <w:szCs w:val="17"/>
          <w:color w:val="auto"/>
        </w:rPr>
        <w:t>In August 2025, Pacira instructed its third-party representative to solicit interest for the ex-U.S. Opportunity from a list of potential partners, including Viatris. Following initial contact by Pacira’s third-party representative and discussion of non-confidential information regarding the ex-U.S. Opportunity, Viatris and Pacira executed Pacira’s customary mutual confidentiality agreement on August 27, 2025, which did not include a standstill provision.</w:t>
      </w:r>
    </w:p>
    <w:p>
      <w:pPr>
        <w:spacing w:after="0" w:line="56" w:lineRule="exact"/>
        <w:rPr>
          <w:sz w:val="20"/>
          <w:szCs w:val="20"/>
          <w:color w:val="auto"/>
        </w:rPr>
      </w:pPr>
    </w:p>
    <w:p>
      <w:pPr>
        <w:ind w:left="300" w:right="319" w:firstLine="360"/>
        <w:spacing w:after="0" w:line="289" w:lineRule="auto"/>
        <w:rPr>
          <w:sz w:val="20"/>
          <w:szCs w:val="20"/>
          <w:color w:val="auto"/>
        </w:rPr>
      </w:pPr>
      <w:r>
        <w:rPr>
          <w:rFonts w:ascii="Times New Roman" w:cs="Times New Roman" w:eastAsia="Times New Roman" w:hAnsi="Times New Roman"/>
          <w:sz w:val="17"/>
          <w:szCs w:val="17"/>
          <w:color w:val="auto"/>
        </w:rPr>
        <w:t>On September 11, 2025, members of Pacira’s senior management team gave a presentation to representatives of Viatris regarding the ex-U.S. Opportunity. Subsequent to the presentation, Pacira provided Viatris with access to Pacira’s virtual data room, which contained information about EXPAREL, ZILRETTA and the ex-U.S. Opportunity.</w:t>
      </w:r>
    </w:p>
    <w:p>
      <w:pPr>
        <w:spacing w:after="0" w:line="50" w:lineRule="exact"/>
        <w:rPr>
          <w:sz w:val="20"/>
          <w:szCs w:val="20"/>
          <w:color w:val="auto"/>
        </w:rPr>
      </w:pPr>
    </w:p>
    <w:p>
      <w:pPr>
        <w:ind w:left="300" w:right="379" w:firstLine="360"/>
        <w:spacing w:after="0" w:line="257" w:lineRule="auto"/>
        <w:rPr>
          <w:sz w:val="20"/>
          <w:szCs w:val="20"/>
          <w:color w:val="auto"/>
        </w:rPr>
      </w:pPr>
      <w:r>
        <w:rPr>
          <w:rFonts w:ascii="Times New Roman" w:cs="Times New Roman" w:eastAsia="Times New Roman" w:hAnsi="Times New Roman"/>
          <w:sz w:val="18"/>
          <w:szCs w:val="18"/>
          <w:color w:val="auto"/>
        </w:rPr>
        <w:t>Between October 2025 and March 2026, representatives of each of Pacira and Viatris met on several occasions regarding the potential to work together on a potential co-promotion of EXPAREL and Viatris’ fast-acting formulation of meloxicam in the United States, including at the J.P. Morgan Healthcare Conference in</w:t>
      </w:r>
    </w:p>
    <w:p>
      <w:pPr>
        <w:spacing w:after="0" w:line="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San Francisco, California, on January 12, 2026, and a videoconference on March 30, 2026, at which Viatris shared</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potential of its fast-acting formulation of meloxicam and Pacira shared its commercial capabilities relevant to</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promoting Viatris’ fast-acting formulation of meloxicam in the United States. In addition, on March 27, 2026,</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Scott Smith, Viatris’ Chief Executive Officer and member of the Viatris Board, emailed Frank D. Lee, Pacira’s Chief</w:t>
      </w:r>
    </w:p>
    <w:p>
      <w:pPr>
        <w:spacing w:after="0" w:line="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Executive Officer and member of the Pacira Board, to open a direct line of communication regarding the potential of</w:t>
      </w:r>
    </w:p>
    <w:p>
      <w:pPr>
        <w:spacing w:after="0" w:line="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 partnership on Viatris’ fast-acting formulation of meloxicam.</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1" w:name="page32"/>
    <w:bookmarkEnd w:id="3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July 16, 2026, Mr. Smith contacted Mr. Lee to schedule a meeting for July 20, 2026.</w:t>
      </w:r>
    </w:p>
    <w:p>
      <w:pPr>
        <w:spacing w:after="0" w:line="117"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color w:val="auto"/>
        </w:rPr>
        <w:t>On July 20, 2026, Mr. Lee and Mr. Smith met via videoconference, during which Mr. Smith informed Mr. Lee that Viatris intended to submit a proposal to acquire 100% of Pacira’s outstanding equity. Subsequent to the meeting, a representative of Viatris submitted by email to Mr. Lee a non-binding written proposal, dated July 17, 2026, to acquire 100% of Pacira’s outstanding equity for $31.00 per Share, in cash (with no financing condition), subject to the completion of due diligence, the negotiation and execution of definitive agreements and approval of the Viatris Board (the “July 17 Viatris Proposal”). The email also included Viatris’ initial list of diligence priorities and requested various diligence calls.</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August 4, 2026, Mr. Lee contacted Mr. Smith to schedule a management presentation.</w:t>
      </w:r>
    </w:p>
    <w:p>
      <w:pPr>
        <w:spacing w:after="0" w:line="117" w:lineRule="exact"/>
        <w:rPr>
          <w:sz w:val="20"/>
          <w:szCs w:val="20"/>
          <w:color w:val="auto"/>
        </w:rPr>
      </w:pPr>
    </w:p>
    <w:p>
      <w:pPr>
        <w:ind w:left="300" w:right="499" w:firstLine="360"/>
        <w:spacing w:after="0" w:line="254" w:lineRule="auto"/>
        <w:rPr>
          <w:sz w:val="20"/>
          <w:szCs w:val="20"/>
          <w:color w:val="auto"/>
        </w:rPr>
      </w:pPr>
      <w:r>
        <w:rPr>
          <w:rFonts w:ascii="Times New Roman" w:cs="Times New Roman" w:eastAsia="Times New Roman" w:hAnsi="Times New Roman"/>
          <w:sz w:val="18"/>
          <w:szCs w:val="18"/>
          <w:color w:val="auto"/>
        </w:rPr>
        <w:t>Between August 5, 2026 and August 8, 2026, representatives of Ashurst Perkins Coie (“Ashurst Perkins Coie”), Pacira’s outside legal counsel, and Cravath, Swaine &amp; Moore LLP (“Cravath”), Viatris’ outside legal counsel, negotiated the terms of a one-way confidentiality agreement, which was subsequently effective as of August 10, 2026. The confidentiality agreement included a standstill provision that automatically terminates upon Pacira’s entry into a definitive agreement for certain acquisition transactions or a third party’s commencement of a tender or exchange offer for 50% or more of Pacira’s outstanding voting securities, as well as an employee non-solicitation covenant, as further described in Section 11 — “The Transaction Agreements — The Confidentiality Agreement.”</w:t>
      </w:r>
    </w:p>
    <w:p>
      <w:pPr>
        <w:spacing w:after="0" w:line="84" w:lineRule="exact"/>
        <w:rPr>
          <w:sz w:val="20"/>
          <w:szCs w:val="20"/>
          <w:color w:val="auto"/>
        </w:rPr>
      </w:pPr>
    </w:p>
    <w:p>
      <w:pPr>
        <w:ind w:left="300" w:right="459" w:firstLine="360"/>
        <w:spacing w:after="0" w:line="261" w:lineRule="auto"/>
        <w:rPr>
          <w:sz w:val="20"/>
          <w:szCs w:val="20"/>
          <w:color w:val="auto"/>
        </w:rPr>
      </w:pPr>
      <w:r>
        <w:rPr>
          <w:rFonts w:ascii="Times New Roman" w:cs="Times New Roman" w:eastAsia="Times New Roman" w:hAnsi="Times New Roman"/>
          <w:sz w:val="18"/>
          <w:szCs w:val="18"/>
          <w:color w:val="auto"/>
        </w:rPr>
        <w:t>On August 11, 2026, members of Pacira’s senior management team, including, among others, Mr. Lee and Shawn M. Cross, Pacira’s Chief Financial Officer, gave an in-person presentation in New York City to members of Viatris’ senior management team on Pacira’s commercial business and infrastructure, research and development pipeline, manufacturing capabilities and intellectual property portfolio.</w:t>
      </w:r>
    </w:p>
    <w:p>
      <w:pPr>
        <w:spacing w:after="0" w:line="72" w:lineRule="exact"/>
        <w:rPr>
          <w:sz w:val="20"/>
          <w:szCs w:val="20"/>
          <w:color w:val="auto"/>
        </w:rPr>
      </w:pPr>
    </w:p>
    <w:p>
      <w:pPr>
        <w:jc w:val="both"/>
        <w:ind w:left="300" w:right="439" w:firstLine="360"/>
        <w:spacing w:after="0" w:line="261" w:lineRule="auto"/>
        <w:rPr>
          <w:sz w:val="20"/>
          <w:szCs w:val="20"/>
          <w:color w:val="auto"/>
        </w:rPr>
      </w:pPr>
      <w:r>
        <w:rPr>
          <w:rFonts w:ascii="Times New Roman" w:cs="Times New Roman" w:eastAsia="Times New Roman" w:hAnsi="Times New Roman"/>
          <w:sz w:val="18"/>
          <w:szCs w:val="18"/>
          <w:color w:val="auto"/>
        </w:rPr>
        <w:t>On August 17, 2026, representatives of Viatris submitted to Mr. Lee a revised non-binding written proposal to acquire 100% of Pacira’s outstanding equity for $34.25 per Share, in cash (with no financing condition), subject to the completion of due diligence, the negotiation and execution of definitive agreements and approval of the Viatris Board (the “August 17 Viatris Proposal”).</w:t>
      </w:r>
    </w:p>
    <w:p>
      <w:pPr>
        <w:spacing w:after="0" w:line="72" w:lineRule="exact"/>
        <w:rPr>
          <w:sz w:val="20"/>
          <w:szCs w:val="20"/>
          <w:color w:val="auto"/>
        </w:rPr>
      </w:pPr>
    </w:p>
    <w:p>
      <w:pPr>
        <w:ind w:left="300" w:right="339" w:firstLine="360"/>
        <w:spacing w:after="0" w:line="266" w:lineRule="auto"/>
        <w:rPr>
          <w:sz w:val="20"/>
          <w:szCs w:val="20"/>
          <w:color w:val="auto"/>
        </w:rPr>
      </w:pPr>
      <w:r>
        <w:rPr>
          <w:rFonts w:ascii="Times New Roman" w:cs="Times New Roman" w:eastAsia="Times New Roman" w:hAnsi="Times New Roman"/>
          <w:sz w:val="18"/>
          <w:szCs w:val="18"/>
          <w:color w:val="auto"/>
        </w:rPr>
        <w:t>On August 19, 2026, Mr. Lee contacted Mr. Smith to discuss the August 17 Viatris Proposal, specifically to explore an increase in the per Share offer price and a potential for a contingent value right based on Pacira’s pipeline assets.</w:t>
      </w:r>
    </w:p>
    <w:p>
      <w:pPr>
        <w:spacing w:after="0" w:line="68" w:lineRule="exact"/>
        <w:rPr>
          <w:sz w:val="20"/>
          <w:szCs w:val="20"/>
          <w:color w:val="auto"/>
        </w:rPr>
      </w:pPr>
    </w:p>
    <w:p>
      <w:pPr>
        <w:ind w:left="300" w:right="379" w:firstLine="360"/>
        <w:spacing w:after="0" w:line="312" w:lineRule="auto"/>
        <w:rPr>
          <w:sz w:val="20"/>
          <w:szCs w:val="20"/>
          <w:color w:val="auto"/>
        </w:rPr>
      </w:pPr>
      <w:r>
        <w:rPr>
          <w:rFonts w:ascii="Times New Roman" w:cs="Times New Roman" w:eastAsia="Times New Roman" w:hAnsi="Times New Roman"/>
          <w:sz w:val="17"/>
          <w:szCs w:val="17"/>
          <w:color w:val="auto"/>
        </w:rPr>
        <w:t>On August 20, 2026, Mr. Lee called Mr. Smith to coordinate a call for additional discussion on pipeline and manufacturing between the respective senior management teams, which was subsequently held on August 24, 2026.</w:t>
      </w:r>
    </w:p>
    <w:p>
      <w:pPr>
        <w:spacing w:after="0" w:line="32" w:lineRule="exact"/>
        <w:rPr>
          <w:sz w:val="20"/>
          <w:szCs w:val="20"/>
          <w:color w:val="auto"/>
        </w:rPr>
      </w:pPr>
    </w:p>
    <w:p>
      <w:pPr>
        <w:ind w:left="300" w:right="459" w:firstLine="360"/>
        <w:spacing w:after="0" w:line="255" w:lineRule="auto"/>
        <w:rPr>
          <w:sz w:val="20"/>
          <w:szCs w:val="20"/>
          <w:color w:val="auto"/>
        </w:rPr>
      </w:pPr>
      <w:r>
        <w:rPr>
          <w:rFonts w:ascii="Times New Roman" w:cs="Times New Roman" w:eastAsia="Times New Roman" w:hAnsi="Times New Roman"/>
          <w:sz w:val="18"/>
          <w:szCs w:val="18"/>
          <w:color w:val="auto"/>
        </w:rPr>
        <w:t>On August 26, 2026, Viatris submitted a revised non-binding written proposal to acquire 100% of Pacira’s outstanding equity for $35.25 per Share, in cash (with no financing condition), plus one contingent value right per Share, which would represent the right to receive a contingent payment of $2.00 per Share upon the receipt of approval, on or prior to December 31, 2032, from the United States Food and Drug Administration (the “FDA”) of PCRX-201 (enekinragene inzadenovec), a novel, locally administered gene therapy for moderate to severe osteoarthritis of the knee, subject to the completion of due diligence, the negotiation and execution of definitive agreements and approval of the Viatris Board (the “August 26 Viatris Proposal”).</w:t>
      </w:r>
    </w:p>
    <w:p>
      <w:pPr>
        <w:spacing w:after="0" w:line="81" w:lineRule="exact"/>
        <w:rPr>
          <w:sz w:val="20"/>
          <w:szCs w:val="20"/>
          <w:color w:val="auto"/>
        </w:rPr>
      </w:pPr>
    </w:p>
    <w:p>
      <w:pPr>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On August 28, 2026, Mr. Lee called Mr. Smith to discuss the August 26 Viatris Proposal, including with respect to Viatris’ ability to increase the per Share cash offer price. During this discussion, Mr. Smith communicated that Viatris would consider potentially increasing the cash component of its offer to $36.25 per Share depending on the outcome of Viatris’ due diligence.</w:t>
      </w:r>
    </w:p>
    <w:p>
      <w:pPr>
        <w:spacing w:after="0" w:line="72" w:lineRule="exact"/>
        <w:rPr>
          <w:sz w:val="20"/>
          <w:szCs w:val="20"/>
          <w:color w:val="auto"/>
        </w:rPr>
      </w:pPr>
    </w:p>
    <w:p>
      <w:pPr>
        <w:ind w:left="300" w:right="819" w:firstLine="360"/>
        <w:spacing w:after="0" w:line="282" w:lineRule="auto"/>
        <w:rPr>
          <w:sz w:val="20"/>
          <w:szCs w:val="20"/>
          <w:color w:val="auto"/>
        </w:rPr>
      </w:pPr>
      <w:r>
        <w:rPr>
          <w:rFonts w:ascii="Times New Roman" w:cs="Times New Roman" w:eastAsia="Times New Roman" w:hAnsi="Times New Roman"/>
          <w:sz w:val="18"/>
          <w:szCs w:val="18"/>
          <w:color w:val="auto"/>
        </w:rPr>
        <w:t>Also, on August 28, 2026, representatives of Viatris sent a due diligence request list to representatives of Goldman Sachs &amp; Co. LLC (“Goldman Sachs”), Pacira’s financial advisor.</w:t>
      </w:r>
    </w:p>
    <w:p>
      <w:pPr>
        <w:spacing w:after="0" w:line="54" w:lineRule="exact"/>
        <w:rPr>
          <w:sz w:val="20"/>
          <w:szCs w:val="20"/>
          <w:color w:val="auto"/>
        </w:rPr>
      </w:pPr>
    </w:p>
    <w:p>
      <w:pPr>
        <w:jc w:val="both"/>
        <w:ind w:left="300" w:right="699" w:firstLine="360"/>
        <w:spacing w:after="0" w:line="266" w:lineRule="auto"/>
        <w:rPr>
          <w:sz w:val="20"/>
          <w:szCs w:val="20"/>
          <w:color w:val="auto"/>
        </w:rPr>
      </w:pPr>
      <w:r>
        <w:rPr>
          <w:rFonts w:ascii="Times New Roman" w:cs="Times New Roman" w:eastAsia="Times New Roman" w:hAnsi="Times New Roman"/>
          <w:sz w:val="18"/>
          <w:szCs w:val="18"/>
          <w:color w:val="auto"/>
        </w:rPr>
        <w:t>On August 31, 2026, Viatris entered into an engagement letter with Morgan Stanley &amp; Co. LLC (“Morgan Stanley”), pursuant to which Viatris engaged Morgan Stanley to act as its financial advisor in connection with a potential transaction involving Pacira.</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2" w:name="page33"/>
    <w:bookmarkEnd w:id="3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Later, on August 31, 2026, Viatris and its advisors were granted access to Pacira’s virtual data room. From August 31, 2026 until the execution of the Merger Agreement on October 8, 2026, Viatris and its advisors conducted due diligence investigations, which included multiple diligence meetings with members of Pacira’s senior management to discuss legal, intellectual property, finance, manufacturing, commercial and research and development matters, among other topics.</w:t>
      </w:r>
    </w:p>
    <w:p>
      <w:pPr>
        <w:spacing w:after="0" w:line="75" w:lineRule="exact"/>
        <w:rPr>
          <w:sz w:val="20"/>
          <w:szCs w:val="20"/>
          <w:color w:val="auto"/>
        </w:rPr>
      </w:pPr>
    </w:p>
    <w:p>
      <w:pPr>
        <w:ind w:left="300" w:right="739" w:firstLine="360"/>
        <w:spacing w:after="0" w:line="282" w:lineRule="auto"/>
        <w:rPr>
          <w:sz w:val="20"/>
          <w:szCs w:val="20"/>
          <w:color w:val="auto"/>
        </w:rPr>
      </w:pPr>
      <w:r>
        <w:rPr>
          <w:rFonts w:ascii="Times New Roman" w:cs="Times New Roman" w:eastAsia="Times New Roman" w:hAnsi="Times New Roman"/>
          <w:sz w:val="18"/>
          <w:szCs w:val="18"/>
          <w:color w:val="auto"/>
        </w:rPr>
        <w:t>On September 1, 2026, representatives of Ashurst Perkins Coie uploaded a draft Merger Agreement to the virtual data room.</w:t>
      </w:r>
    </w:p>
    <w:p>
      <w:pPr>
        <w:spacing w:after="0" w:line="54" w:lineRule="exact"/>
        <w:rPr>
          <w:sz w:val="20"/>
          <w:szCs w:val="20"/>
          <w:color w:val="auto"/>
        </w:rPr>
      </w:pPr>
    </w:p>
    <w:p>
      <w:pPr>
        <w:jc w:val="both"/>
        <w:ind w:left="300" w:right="579" w:firstLine="360"/>
        <w:spacing w:after="0" w:line="261" w:lineRule="auto"/>
        <w:rPr>
          <w:sz w:val="20"/>
          <w:szCs w:val="20"/>
          <w:color w:val="auto"/>
        </w:rPr>
      </w:pPr>
      <w:r>
        <w:rPr>
          <w:rFonts w:ascii="Times New Roman" w:cs="Times New Roman" w:eastAsia="Times New Roman" w:hAnsi="Times New Roman"/>
          <w:sz w:val="18"/>
          <w:szCs w:val="18"/>
          <w:color w:val="auto"/>
        </w:rPr>
        <w:t>On September 2, 2026, representatives of Ashurst Perkins Coie emailed representatives of Cravath the draft Merger Agreement and representatives of Cravath emailed representatives of Ashurst Perkins Coie a draft clean team agreement to protect information relating to due diligence matters involving Pacira’s commercial team. The clean team agreement was subsequently negotiated and then executed on September 4, 2026.</w:t>
      </w:r>
    </w:p>
    <w:p>
      <w:pPr>
        <w:spacing w:after="0" w:line="72" w:lineRule="exact"/>
        <w:rPr>
          <w:sz w:val="20"/>
          <w:szCs w:val="20"/>
          <w:color w:val="auto"/>
        </w:rPr>
      </w:pPr>
    </w:p>
    <w:p>
      <w:pPr>
        <w:ind w:left="300" w:right="479" w:firstLine="360"/>
        <w:spacing w:after="0" w:line="266" w:lineRule="auto"/>
        <w:rPr>
          <w:sz w:val="20"/>
          <w:szCs w:val="20"/>
          <w:color w:val="auto"/>
        </w:rPr>
      </w:pPr>
      <w:r>
        <w:rPr>
          <w:rFonts w:ascii="Times New Roman" w:cs="Times New Roman" w:eastAsia="Times New Roman" w:hAnsi="Times New Roman"/>
          <w:sz w:val="18"/>
          <w:szCs w:val="18"/>
          <w:color w:val="auto"/>
        </w:rPr>
        <w:t>On September 11, 2026, representatives of Cravath emailed representatives of Ashurst Perkins Coie a draft contingent value right agreement and representatives of Ashurst Perkins Coie emailed representatives of Cravath a draft of Pacira’s confidential disclosure schedules.</w:t>
      </w:r>
    </w:p>
    <w:p>
      <w:pPr>
        <w:spacing w:after="0" w:line="68" w:lineRule="exact"/>
        <w:rPr>
          <w:sz w:val="20"/>
          <w:szCs w:val="20"/>
          <w:color w:val="auto"/>
        </w:rPr>
      </w:pPr>
    </w:p>
    <w:p>
      <w:pPr>
        <w:ind w:left="300" w:right="379" w:firstLine="360"/>
        <w:spacing w:after="0" w:line="261" w:lineRule="auto"/>
        <w:rPr>
          <w:sz w:val="20"/>
          <w:szCs w:val="20"/>
          <w:color w:val="auto"/>
        </w:rPr>
      </w:pPr>
      <w:r>
        <w:rPr>
          <w:rFonts w:ascii="Times New Roman" w:cs="Times New Roman" w:eastAsia="Times New Roman" w:hAnsi="Times New Roman"/>
          <w:sz w:val="18"/>
          <w:szCs w:val="18"/>
          <w:color w:val="auto"/>
        </w:rPr>
        <w:t>On September 14, 2026, representatives of Cravath emailed representatives of Ashurst Perkins Coie comments on the draft Merger Agreement and representatives of Ashurst Perkins Coie emailed representatives of Cravath supplemental additions to the draft of Pacira’s confidential disclosure schedules. That same day, representatives of Viatris were granted access to the clean team data room.</w:t>
      </w:r>
    </w:p>
    <w:p>
      <w:pPr>
        <w:spacing w:after="0" w:line="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September 20, 2026, representatives of Ashurst Perkins Coie emailed representatives of Cravath comments</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on the draft Merger Agreement. From September 20, 2026 until the execution of the Merger Agreement on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October 8, 2026, representatives of Ashurst Perkins Coie and Pacira’s senior management continued to negotiate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terms of the draft Merger Agreement with representatives of Cravath and Viatris’ management. Such negotiations</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included a potential contingent value right per Share as well as the milestones and required efforts related thereto,</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treatment of unvested stock options and employee cash and equity incentive compensation, Pacira’s confidential</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disclosure schedules, provisions relating to unsolicited acquisition proposals, the amount of the potential termination</w:t>
      </w:r>
    </w:p>
    <w:p>
      <w:pPr>
        <w:spacing w:after="0" w:line="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fee and antitrust matters.</w:t>
      </w:r>
    </w:p>
    <w:p>
      <w:pPr>
        <w:spacing w:after="0" w:line="99" w:lineRule="exact"/>
        <w:rPr>
          <w:sz w:val="20"/>
          <w:szCs w:val="20"/>
          <w:color w:val="auto"/>
        </w:rPr>
      </w:pPr>
    </w:p>
    <w:p>
      <w:pPr>
        <w:ind w:left="300" w:right="859" w:firstLine="360"/>
        <w:spacing w:after="0" w:line="282" w:lineRule="auto"/>
        <w:rPr>
          <w:sz w:val="20"/>
          <w:szCs w:val="20"/>
          <w:color w:val="auto"/>
        </w:rPr>
      </w:pPr>
      <w:r>
        <w:rPr>
          <w:rFonts w:ascii="Times New Roman" w:cs="Times New Roman" w:eastAsia="Times New Roman" w:hAnsi="Times New Roman"/>
          <w:sz w:val="18"/>
          <w:szCs w:val="18"/>
          <w:color w:val="auto"/>
        </w:rPr>
        <w:t>On September 23, 2026, Mr. Smith and Mr. Lee met to discuss the potential transaction and the status of Viatris’ due diligence.</w:t>
      </w:r>
    </w:p>
    <w:p>
      <w:pPr>
        <w:spacing w:after="0" w:line="54" w:lineRule="exact"/>
        <w:rPr>
          <w:sz w:val="20"/>
          <w:szCs w:val="20"/>
          <w:color w:val="auto"/>
        </w:rPr>
      </w:pPr>
    </w:p>
    <w:p>
      <w:pPr>
        <w:jc w:val="both"/>
        <w:ind w:left="300" w:right="419" w:firstLine="360"/>
        <w:spacing w:after="0" w:line="258" w:lineRule="auto"/>
        <w:rPr>
          <w:sz w:val="20"/>
          <w:szCs w:val="20"/>
          <w:color w:val="auto"/>
        </w:rPr>
      </w:pPr>
      <w:r>
        <w:rPr>
          <w:rFonts w:ascii="Times New Roman" w:cs="Times New Roman" w:eastAsia="Times New Roman" w:hAnsi="Times New Roman"/>
          <w:sz w:val="18"/>
          <w:szCs w:val="18"/>
          <w:color w:val="auto"/>
        </w:rPr>
        <w:t>On September 30, 2026, representatives of Morgan Stanley informed representatives of Goldman Sachs that, based on perceived risk relating to a third-party manufacturing site for EXPAREL and ZILRETTA, Viatris was not prepared to increase its cash offer to $36.25 per Share and was instead prepared to propose $35.75 per Share, plus a contingent value right of $2.00 per Share on the terms previously proposed. In the following days, Pacira provided Viatris with additional information relating to its manufacturing.</w:t>
      </w:r>
    </w:p>
    <w:p>
      <w:pPr>
        <w:spacing w:after="0" w:line="75" w:lineRule="exact"/>
        <w:rPr>
          <w:sz w:val="20"/>
          <w:szCs w:val="20"/>
          <w:color w:val="auto"/>
        </w:rPr>
      </w:pPr>
    </w:p>
    <w:p>
      <w:pPr>
        <w:ind w:left="300" w:right="439" w:firstLine="360"/>
        <w:spacing w:after="0" w:line="282" w:lineRule="auto"/>
        <w:rPr>
          <w:sz w:val="20"/>
          <w:szCs w:val="20"/>
          <w:color w:val="auto"/>
        </w:rPr>
      </w:pPr>
      <w:r>
        <w:rPr>
          <w:rFonts w:ascii="Times New Roman" w:cs="Times New Roman" w:eastAsia="Times New Roman" w:hAnsi="Times New Roman"/>
          <w:sz w:val="18"/>
          <w:szCs w:val="18"/>
          <w:color w:val="auto"/>
        </w:rPr>
        <w:t>On October 1, 2026, representatives of Ashurst Perkins Coie emailed representatives of Cravath comments on the draft contingent value right agreement.</w:t>
      </w:r>
    </w:p>
    <w:p>
      <w:pPr>
        <w:spacing w:after="0" w:line="54" w:lineRule="exact"/>
        <w:rPr>
          <w:sz w:val="20"/>
          <w:szCs w:val="20"/>
          <w:color w:val="auto"/>
        </w:rPr>
      </w:pPr>
    </w:p>
    <w:p>
      <w:pPr>
        <w:jc w:val="both"/>
        <w:ind w:left="300" w:right="839" w:firstLine="360"/>
        <w:spacing w:after="0" w:line="266" w:lineRule="auto"/>
        <w:rPr>
          <w:sz w:val="20"/>
          <w:szCs w:val="20"/>
          <w:color w:val="auto"/>
        </w:rPr>
      </w:pPr>
      <w:r>
        <w:rPr>
          <w:rFonts w:ascii="Times New Roman" w:cs="Times New Roman" w:eastAsia="Times New Roman" w:hAnsi="Times New Roman"/>
          <w:sz w:val="18"/>
          <w:szCs w:val="18"/>
          <w:color w:val="auto"/>
        </w:rPr>
        <w:t>On October 4, 2026, Messrs. Lee and Smith met in person in Los Angeles, California. After discussion, Mr. Smith communicated that Viatris was willing to increase its cash offer per Share to $36.25 if the potential contingent value right per Share was eliminated.</w:t>
      </w:r>
    </w:p>
    <w:p>
      <w:pPr>
        <w:spacing w:after="0" w:line="68" w:lineRule="exact"/>
        <w:rPr>
          <w:sz w:val="20"/>
          <w:szCs w:val="20"/>
          <w:color w:val="auto"/>
        </w:rPr>
      </w:pPr>
    </w:p>
    <w:p>
      <w:pPr>
        <w:ind w:left="300" w:right="399" w:firstLine="360"/>
        <w:spacing w:after="0" w:line="261" w:lineRule="auto"/>
        <w:rPr>
          <w:sz w:val="20"/>
          <w:szCs w:val="20"/>
          <w:color w:val="auto"/>
        </w:rPr>
      </w:pPr>
      <w:r>
        <w:rPr>
          <w:rFonts w:ascii="Times New Roman" w:cs="Times New Roman" w:eastAsia="Times New Roman" w:hAnsi="Times New Roman"/>
          <w:sz w:val="18"/>
          <w:szCs w:val="18"/>
          <w:color w:val="auto"/>
        </w:rPr>
        <w:t>On October 5, 2026, Mr. Lee, based on direction from the Pacira Board, instructed representatives of Goldman Sachs to communicate the counteroffer of $36.50 in cash per Share to Morgan Stanley. Subsequently, Morgan Stanley notified representatives of Goldman Sachs that Viatris would increase its offer per Share to $36.50, all payable in cash at closing with no contingent value right.</w:t>
      </w:r>
    </w:p>
    <w:p>
      <w:pPr>
        <w:spacing w:after="0" w:line="72" w:lineRule="exact"/>
        <w:rPr>
          <w:sz w:val="20"/>
          <w:szCs w:val="20"/>
          <w:color w:val="auto"/>
        </w:rPr>
      </w:pPr>
    </w:p>
    <w:p>
      <w:pPr>
        <w:ind w:left="300" w:right="419" w:firstLine="360"/>
        <w:spacing w:after="0" w:line="256" w:lineRule="auto"/>
        <w:rPr>
          <w:sz w:val="20"/>
          <w:szCs w:val="20"/>
          <w:color w:val="auto"/>
        </w:rPr>
      </w:pPr>
      <w:r>
        <w:rPr>
          <w:rFonts w:ascii="Times New Roman" w:cs="Times New Roman" w:eastAsia="Times New Roman" w:hAnsi="Times New Roman"/>
          <w:sz w:val="18"/>
          <w:szCs w:val="18"/>
          <w:color w:val="auto"/>
        </w:rPr>
        <w:t>On October 7, 2026, the Viatris Board held a meeting at which members of Viatris’ management and representatives of Morgan Stanley and Cravath reviewed the proposed transaction, including the results of Viatris’ due diligence review, the financial terms of the proposed transaction and the material terms of the Merger Agreement. Representatives of Cravath also reviewed the Viatris Board’s fiduciary duties in connection with the proposed transaction. Following discussion, the Viatris Board approved the Merger Agreement and the transactions contemplated thereby.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3" w:name="page34"/>
    <w:bookmarkEnd w:id="3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79" w:firstLine="360"/>
        <w:spacing w:after="0" w:line="282" w:lineRule="auto"/>
        <w:rPr>
          <w:sz w:val="20"/>
          <w:szCs w:val="20"/>
          <w:color w:val="auto"/>
        </w:rPr>
      </w:pPr>
      <w:r>
        <w:rPr>
          <w:rFonts w:ascii="Times New Roman" w:cs="Times New Roman" w:eastAsia="Times New Roman" w:hAnsi="Times New Roman"/>
          <w:sz w:val="18"/>
          <w:szCs w:val="18"/>
          <w:color w:val="auto"/>
        </w:rPr>
        <w:t>On October 8, 2026, Pacira, Viatris and Purchaser executed the Merger Agreement. Later that day, Pacira and Viatris issued a joint press release announcing the transaction.</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11.  The Transaction Agreements.</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The Merger Agreement</w:t>
      </w:r>
    </w:p>
    <w:p>
      <w:pPr>
        <w:spacing w:after="0" w:line="121" w:lineRule="exact"/>
        <w:rPr>
          <w:sz w:val="20"/>
          <w:szCs w:val="20"/>
          <w:color w:val="auto"/>
        </w:rPr>
      </w:pPr>
    </w:p>
    <w:p>
      <w:pPr>
        <w:ind w:left="300" w:right="399" w:firstLine="360"/>
        <w:spacing w:after="0" w:line="254" w:lineRule="auto"/>
        <w:rPr>
          <w:sz w:val="20"/>
          <w:szCs w:val="20"/>
          <w:color w:val="auto"/>
        </w:rPr>
      </w:pPr>
      <w:r>
        <w:rPr>
          <w:rFonts w:ascii="Times New Roman" w:cs="Times New Roman" w:eastAsia="Times New Roman" w:hAnsi="Times New Roman"/>
          <w:sz w:val="18"/>
          <w:szCs w:val="18"/>
          <w:color w:val="auto"/>
        </w:rPr>
        <w:t>The following summary of certain provisions of the Merger Agreement and all other provisions of the Merger Agreement discussed herein are qualified by reference to the Merger Agreement itself, which is incorporated herein by reference. We have filed a copy of the Merger Agreement as Exhibit (d)(1) to the Schedule TO of which this Offer to Purchase forms a part. The Merger Agreement may be examined and copies may be obtained at the places and in the manner set forth in Section 8 — “Certain Information Concerning Viatris and Purchaser.” Pacira stockholders and other interested parties should read the Merger Agreement for a more complete description of the provisions summarized below. Capitalized terms used herein and not otherwise defined have the respective meanings set forth in the Merger Agreement.</w:t>
      </w:r>
    </w:p>
    <w:p>
      <w:pPr>
        <w:spacing w:after="0" w:line="84"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The Merger Agreement has been included to provide investors with information regarding its terms. It is not intended to provide any other factual information about Viatris, Purchaser or Pacira. In particular, the representations, warranties and covenants of each party set forth in the Merger Agreement have been made only for the purposes of, and were and are solely for the benefit of the parties to, the Merger Agreement, may be subject to limitations agreed upon by the contracting parties, including being qualified by the confidential disclosure schedule made for the purposes of allocating contractual risk between the parties to the Merger Agreement instead of establishing these matters as facts, and may be subject to standards of materiality applicable to the contracting parties that differ from those applicable to investors. The confidential disclosure schedule contains information that modifies, qualifies and creates exceptions to the representations and warranties and certain covenants set forth in the Merger Agreement. Accordingly, the representations and warranties may not describe the actual state of affairs at the date they were made or at any other time, and investors should not rely on them as statements of fact.</w:t>
      </w:r>
    </w:p>
    <w:p>
      <w:pPr>
        <w:spacing w:after="0" w:line="82"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The Offer</w:t>
      </w:r>
      <w:r>
        <w:rPr>
          <w:rFonts w:ascii="Times New Roman" w:cs="Times New Roman" w:eastAsia="Times New Roman" w:hAnsi="Times New Roman"/>
          <w:sz w:val="18"/>
          <w:szCs w:val="18"/>
          <w:color w:val="auto"/>
        </w:rPr>
        <w:t>. The Merger Agreement provides that Purchaser will commence the Offer on or before October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2026. Purchaser’s obligation to accept for payment and pay for Shares validly tendered (and not validly withdrawn) in the Offer is subject to the prior satisfaction of the Minimum Condition and the satisfaction or waiver (to the extent permitted by applicable law) of the other Offer Conditions that are described in Section 15 — “Conditions to the Offer.” The Merger Agreement provides that Purchaser will, and Viatris will cause Purchaser to, irrevocably accept for payment at the Offer Acceptance Time and pay for all Shares validly tendered (and not validly withdrawn) pursuant to the Offer as promptly as practicable after the Offer Acceptance Time. Acceptance of all such validly tendered Shares for payment pursuant to and subject to the conditions of the Offer is expected to occur as promptly as practicable after the expiration of the Offer on November 16, 2026, unless one or more Offer Conditions is not satisfied as of such date, in which case we may, and in certain circumstances will be required to, extend the Offer pursuant to the terms of the Merger Agreement. Purchaser may not terminate or withdraw the Offer prior to any scheduled Expiration Date without Pacira’s prior written consent, except in the event that the Merger Agreement is terminated in accordance with its terms.</w:t>
      </w:r>
    </w:p>
    <w:p>
      <w:pPr>
        <w:spacing w:after="0" w:line="81" w:lineRule="exact"/>
        <w:rPr>
          <w:sz w:val="20"/>
          <w:szCs w:val="20"/>
          <w:color w:val="auto"/>
        </w:rPr>
      </w:pPr>
    </w:p>
    <w:p>
      <w:pPr>
        <w:ind w:left="300" w:right="339" w:firstLine="360"/>
        <w:spacing w:after="0" w:line="261" w:lineRule="auto"/>
        <w:rPr>
          <w:sz w:val="20"/>
          <w:szCs w:val="20"/>
          <w:color w:val="auto"/>
        </w:rPr>
      </w:pPr>
      <w:r>
        <w:rPr>
          <w:rFonts w:ascii="Times New Roman" w:cs="Times New Roman" w:eastAsia="Times New Roman" w:hAnsi="Times New Roman"/>
          <w:sz w:val="18"/>
          <w:szCs w:val="18"/>
          <w:color w:val="auto"/>
        </w:rPr>
        <w:t>Purchaser expressly reserves the right to increase the Offer Price and the right to waive or make any other changes in the terms and conditions of the Offer not inconsistent with the terms of the Merger Agreement. However, unless otherwise provided by the Merger Agreement, without the prior written consent of Pacira, we are not permitted to:</w:t>
      </w:r>
    </w:p>
    <w:p>
      <w:pPr>
        <w:spacing w:after="0" w:line="72" w:lineRule="exact"/>
        <w:rPr>
          <w:sz w:val="20"/>
          <w:szCs w:val="20"/>
          <w:color w:val="auto"/>
        </w:rPr>
      </w:pPr>
    </w:p>
    <w:p>
      <w:pPr>
        <w:ind w:left="1000" w:hanging="348"/>
        <w:spacing w:after="0"/>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the Offer Price;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form of consideration payable in the Offer;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the maximum number of Shares sought to be purchased in the Offer;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conditions to the Offer in addition to the Offer Conditions;</w:t>
      </w:r>
    </w:p>
    <w:p>
      <w:pPr>
        <w:spacing w:after="0" w:line="117" w:lineRule="exact"/>
        <w:rPr>
          <w:rFonts w:ascii="Times New Roman" w:cs="Times New Roman" w:eastAsia="Times New Roman" w:hAnsi="Times New Roman"/>
          <w:sz w:val="18"/>
          <w:szCs w:val="18"/>
          <w:color w:val="auto"/>
        </w:rPr>
      </w:pPr>
    </w:p>
    <w:p>
      <w:pPr>
        <w:ind w:left="1000" w:right="379" w:hanging="348"/>
        <w:spacing w:after="0" w:line="261"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or modify any of the Offer Conditions in a manner that adversely affects, or would reasonably be expected to adversely affect, any holder of Shares or that would, individually or in the aggregate, reasonably be expected to prevent, materially delay or materially impair the consummation of the Offer or the Merger;</w:t>
      </w:r>
    </w:p>
    <w:p>
      <w:pPr>
        <w:spacing w:after="0" w:line="71" w:lineRule="exact"/>
        <w:rPr>
          <w:rFonts w:ascii="Times New Roman" w:cs="Times New Roman" w:eastAsia="Times New Roman" w:hAnsi="Times New Roman"/>
          <w:sz w:val="18"/>
          <w:szCs w:val="18"/>
          <w:color w:val="auto"/>
        </w:rPr>
      </w:pPr>
    </w:p>
    <w:p>
      <w:pPr>
        <w:ind w:left="1000" w:right="999" w:hanging="348"/>
        <w:spacing w:after="0" w:line="282"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modify, change or waive the Minimum Condition, the Termination Condition or the Non-Prohibition Condition;</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4" w:name="page35"/>
    <w:bookmarkEnd w:id="3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319" w:hanging="348"/>
        <w:spacing w:after="0" w:line="282" w:lineRule="auto"/>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the Offer or accelerate, extend or otherwise change the Expiration Date in a manner other than in accordance with the relevant provisions of the Merger Agreement; or</w:t>
      </w:r>
    </w:p>
    <w:p>
      <w:pPr>
        <w:spacing w:after="0" w:line="53" w:lineRule="exact"/>
        <w:rPr>
          <w:rFonts w:ascii="Times New Roman" w:cs="Times New Roman" w:eastAsia="Times New Roman" w:hAnsi="Times New Roman"/>
          <w:sz w:val="18"/>
          <w:szCs w:val="18"/>
          <w:color w:val="auto"/>
        </w:rPr>
      </w:pPr>
    </w:p>
    <w:p>
      <w:pPr>
        <w:ind w:left="1000" w:right="799" w:hanging="348"/>
        <w:spacing w:after="0" w:line="282" w:lineRule="auto"/>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any “subsequent offering period” within the meaning of Rule 14d-11 promulgated under the Exchange Act.</w:t>
      </w:r>
    </w:p>
    <w:p>
      <w:pPr>
        <w:spacing w:after="0" w:line="54" w:lineRule="exact"/>
        <w:rPr>
          <w:sz w:val="20"/>
          <w:szCs w:val="20"/>
          <w:color w:val="auto"/>
        </w:rPr>
      </w:pPr>
    </w:p>
    <w:p>
      <w:pPr>
        <w:ind w:left="300" w:right="399" w:firstLine="360"/>
        <w:spacing w:after="0" w:line="258" w:lineRule="auto"/>
        <w:rPr>
          <w:sz w:val="20"/>
          <w:szCs w:val="20"/>
          <w:color w:val="auto"/>
        </w:rPr>
      </w:pPr>
      <w:r>
        <w:rPr>
          <w:rFonts w:ascii="Times New Roman" w:cs="Times New Roman" w:eastAsia="Times New Roman" w:hAnsi="Times New Roman"/>
          <w:sz w:val="18"/>
          <w:szCs w:val="18"/>
          <w:color w:val="auto"/>
        </w:rPr>
        <w:t>The Merger Agreement contains provisions to govern the circumstances in which Purchaser is required or permitted to extend the Expiration Date and in which Viatris is required to cause Purchaser to extend the Expiration Date. Specifically, subject to our rights to terminate the Merger Agreement in accordance with its terms, the Merger Agreement provides that Purchaser must (and Viatris must cause Purchaser to) extend the Offer from time to time for:</w:t>
      </w:r>
    </w:p>
    <w:p>
      <w:pPr>
        <w:spacing w:after="0" w:line="75" w:lineRule="exact"/>
        <w:rPr>
          <w:sz w:val="20"/>
          <w:szCs w:val="20"/>
          <w:color w:val="auto"/>
        </w:rPr>
      </w:pPr>
    </w:p>
    <w:p>
      <w:pPr>
        <w:ind w:left="1000" w:right="419" w:hanging="348"/>
        <w:spacing w:after="0" w:line="282" w:lineRule="auto"/>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period to the minimum extent required by any law, any interpretation or position of the SEC, the staff thereof or the Nasdaq Global Select Market applicable to the Offer;</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312" w:lineRule="auto"/>
        <w:tabs>
          <w:tab w:leader="none" w:pos="100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periods of up to ten (10) Business Days per extension, until any waiting period (and any extension thereof) applicable to the consummation of the Offer under the HSR Act shall have expired or been terminated; and</w:t>
      </w:r>
    </w:p>
    <w:p>
      <w:pPr>
        <w:spacing w:after="0" w:line="31" w:lineRule="exact"/>
        <w:rPr>
          <w:rFonts w:ascii="Times New Roman" w:cs="Times New Roman" w:eastAsia="Times New Roman" w:hAnsi="Times New Roman"/>
          <w:sz w:val="17"/>
          <w:szCs w:val="17"/>
          <w:color w:val="auto"/>
        </w:rPr>
      </w:pPr>
    </w:p>
    <w:p>
      <w:pPr>
        <w:ind w:left="1000" w:right="399" w:hanging="348"/>
        <w:spacing w:after="0" w:line="256" w:lineRule="auto"/>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additional periods specified by Pacira of up to ten (10) Business Days per extension if, as of the scheduled Expiration Date, any Offer Condition is not satisfied and has not been waived and Pacira requests that the Offer be extended, to permit such Offer Condition(s) to be satisfied, provided that, solely to the extent the Minimum Condition is the only Offer Condition (other than the Officer’s Certificate Condition) that is not satisfied or waived, Purchaser will not be required to extend the Offer pursuant to this clause on more than two (2) occasions.</w:t>
      </w:r>
    </w:p>
    <w:p>
      <w:pPr>
        <w:spacing w:after="0" w:line="79" w:lineRule="exact"/>
        <w:rPr>
          <w:sz w:val="20"/>
          <w:szCs w:val="20"/>
          <w:color w:val="auto"/>
        </w:rPr>
      </w:pPr>
    </w:p>
    <w:p>
      <w:pPr>
        <w:ind w:left="300" w:right="659" w:firstLine="360"/>
        <w:spacing w:after="0" w:line="261" w:lineRule="auto"/>
        <w:rPr>
          <w:sz w:val="20"/>
          <w:szCs w:val="20"/>
          <w:color w:val="auto"/>
        </w:rPr>
      </w:pPr>
      <w:r>
        <w:rPr>
          <w:rFonts w:ascii="Times New Roman" w:cs="Times New Roman" w:eastAsia="Times New Roman" w:hAnsi="Times New Roman"/>
          <w:sz w:val="18"/>
          <w:szCs w:val="18"/>
          <w:color w:val="auto"/>
        </w:rPr>
        <w:t>However, notwithstanding the foregoing, Purchaser is not required to, and without Pacira’s prior written consent may not, extend the Offer beyond the earlier of the valid termination of the Merger Agreement in accordance with its terms and the first (1st) Business Day immediately following the End Date. If we extend the Offer, such extension will extend the time that you will have to tender (or withdraw) your Shares.</w:t>
      </w:r>
    </w:p>
    <w:p>
      <w:pPr>
        <w:spacing w:after="0" w:line="72" w:lineRule="exact"/>
        <w:rPr>
          <w:sz w:val="20"/>
          <w:szCs w:val="20"/>
          <w:color w:val="auto"/>
        </w:rPr>
      </w:pPr>
    </w:p>
    <w:p>
      <w:pPr>
        <w:ind w:left="300" w:right="379" w:firstLine="360"/>
        <w:spacing w:after="0" w:line="266" w:lineRule="auto"/>
        <w:rPr>
          <w:sz w:val="20"/>
          <w:szCs w:val="20"/>
          <w:color w:val="auto"/>
        </w:rPr>
      </w:pPr>
      <w:r>
        <w:rPr>
          <w:rFonts w:ascii="Times New Roman" w:cs="Times New Roman" w:eastAsia="Times New Roman" w:hAnsi="Times New Roman"/>
          <w:sz w:val="18"/>
          <w:szCs w:val="18"/>
          <w:color w:val="auto"/>
        </w:rPr>
        <w:t>Purchaser has agreed that it will (and Viatris has agreed to cause Purchaser to) terminate the Offer, and will not acquire any Shares pursuant thereto, within twenty-four (24) hours of any valid termination of the Merger Agreement prior to the Offer Acceptance Time.</w:t>
      </w:r>
    </w:p>
    <w:p>
      <w:pPr>
        <w:spacing w:after="0" w:line="1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Offer Conditions</w:t>
      </w:r>
      <w:r>
        <w:rPr>
          <w:rFonts w:ascii="Times New Roman" w:cs="Times New Roman" w:eastAsia="Times New Roman" w:hAnsi="Times New Roman"/>
          <w:sz w:val="18"/>
          <w:szCs w:val="18"/>
          <w:color w:val="auto"/>
        </w:rPr>
        <w:t>. The Offer Conditions are described in Section 15 — “Conditions to the Offer.”</w:t>
      </w:r>
    </w:p>
    <w:p>
      <w:pPr>
        <w:spacing w:after="0" w:line="117" w:lineRule="exact"/>
        <w:rPr>
          <w:sz w:val="20"/>
          <w:szCs w:val="20"/>
          <w:color w:val="auto"/>
        </w:rPr>
      </w:pPr>
    </w:p>
    <w:p>
      <w:pPr>
        <w:ind w:left="300" w:right="339" w:firstLine="360"/>
        <w:spacing w:after="0" w:line="255" w:lineRule="auto"/>
        <w:rPr>
          <w:sz w:val="20"/>
          <w:szCs w:val="20"/>
          <w:color w:val="auto"/>
        </w:rPr>
      </w:pPr>
      <w:r>
        <w:rPr>
          <w:rFonts w:ascii="Times New Roman" w:cs="Times New Roman" w:eastAsia="Times New Roman" w:hAnsi="Times New Roman"/>
          <w:sz w:val="18"/>
          <w:szCs w:val="18"/>
          <w:i w:val="1"/>
          <w:iCs w:val="1"/>
          <w:color w:val="auto"/>
        </w:rPr>
        <w:t>The Merger</w:t>
      </w:r>
      <w:r>
        <w:rPr>
          <w:rFonts w:ascii="Times New Roman" w:cs="Times New Roman" w:eastAsia="Times New Roman" w:hAnsi="Times New Roman"/>
          <w:sz w:val="18"/>
          <w:szCs w:val="18"/>
          <w:color w:val="auto"/>
        </w:rPr>
        <w:t>. The Merger Agreement provides that, following completion of the Offer and subject to the terms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conditions of the Merger Agreement, and in accordance with the DGCL, at the Effective Time, Purchaser will be merged with and into Pacira, and the separate corporate existence of Purchaser will cease, and Pacira will continue as the Surviving Corporation in the Merger. The Merger will be governed by Section 251(h) of the DGCL and will be effected as soon as practicable following (but in any event on the same date as) the Offer Acceptance Time (except if the conditions set forth in Section 8.1 of the Merger Agreement have not been satisfied or waived by such date, in which case no later than the first Business Day on which each such condition is satisfied or waived) without a vote on the adoption of the Merger Agreement by Pacira stockholders.</w:t>
      </w:r>
    </w:p>
    <w:p>
      <w:pPr>
        <w:spacing w:after="0" w:line="79" w:lineRule="exact"/>
        <w:rPr>
          <w:sz w:val="20"/>
          <w:szCs w:val="20"/>
          <w:color w:val="auto"/>
        </w:rPr>
      </w:pPr>
    </w:p>
    <w:p>
      <w:pPr>
        <w:ind w:left="300" w:right="359" w:firstLine="360"/>
        <w:spacing w:after="0" w:line="282" w:lineRule="auto"/>
        <w:rPr>
          <w:sz w:val="20"/>
          <w:szCs w:val="20"/>
          <w:color w:val="auto"/>
        </w:rPr>
      </w:pPr>
      <w:r>
        <w:rPr>
          <w:rFonts w:ascii="Times New Roman" w:cs="Times New Roman" w:eastAsia="Times New Roman" w:hAnsi="Times New Roman"/>
          <w:sz w:val="18"/>
          <w:szCs w:val="18"/>
          <w:color w:val="auto"/>
        </w:rPr>
        <w:t>The certificate of incorporation and bylaws of the Surviving Corporation at and immediately after the Effective Time will be in the forms attached to the Merger Agreement as Exhibits A and B, respectively.</w:t>
      </w:r>
    </w:p>
    <w:p>
      <w:pPr>
        <w:spacing w:after="0" w:line="54" w:lineRule="exact"/>
        <w:rPr>
          <w:sz w:val="20"/>
          <w:szCs w:val="20"/>
          <w:color w:val="auto"/>
        </w:rPr>
      </w:pPr>
    </w:p>
    <w:p>
      <w:pPr>
        <w:ind w:left="300" w:right="659" w:firstLine="360"/>
        <w:spacing w:after="0" w:line="282" w:lineRule="auto"/>
        <w:rPr>
          <w:sz w:val="20"/>
          <w:szCs w:val="20"/>
          <w:color w:val="auto"/>
        </w:rPr>
      </w:pPr>
      <w:r>
        <w:rPr>
          <w:rFonts w:ascii="Times New Roman" w:cs="Times New Roman" w:eastAsia="Times New Roman" w:hAnsi="Times New Roman"/>
          <w:sz w:val="18"/>
          <w:szCs w:val="18"/>
          <w:color w:val="auto"/>
        </w:rPr>
        <w:t>The obligations of Pacira, Viatris and Purchaser to complete the Merger are subject to the satisfaction, at or prior to the closing of the Merger, of the following conditions:</w:t>
      </w:r>
    </w:p>
    <w:p>
      <w:pPr>
        <w:spacing w:after="0" w:line="54" w:lineRule="exact"/>
        <w:rPr>
          <w:sz w:val="20"/>
          <w:szCs w:val="20"/>
          <w:color w:val="auto"/>
        </w:rPr>
      </w:pPr>
    </w:p>
    <w:p>
      <w:pPr>
        <w:ind w:left="1000" w:right="579" w:hanging="348"/>
        <w:spacing w:after="0" w:line="273" w:lineRule="auto"/>
        <w:tabs>
          <w:tab w:leader="none" w:pos="100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must not have been issued by any court or other governmental body of competent jurisdiction and remain in effect any temporary, preliminary or permanent order, judgment, decision, decree, corporate integrity agreement, deferred prosecution agreement, settlement agreement, injunction, ruling, writ, assessment or other similar requirement issued, enacted, adopted, promulgated or applied by any governmental body of competent jurisdiction that is binding on or applicable to a person or its property (each, an “Order”) preventing the consummation of the Merger, nor may there be in effect any Legal Restraint that directly or indirectly prohibits or makes illegal the consummation of the Merger; and</w:t>
      </w:r>
    </w:p>
    <w:p>
      <w:pPr>
        <w:spacing w:after="0" w:line="63" w:lineRule="exact"/>
        <w:rPr>
          <w:rFonts w:ascii="Times New Roman" w:cs="Times New Roman" w:eastAsia="Times New Roman" w:hAnsi="Times New Roman"/>
          <w:sz w:val="17"/>
          <w:szCs w:val="17"/>
          <w:color w:val="auto"/>
        </w:rPr>
      </w:pPr>
    </w:p>
    <w:p>
      <w:pPr>
        <w:ind w:left="1000" w:right="539" w:hanging="348"/>
        <w:spacing w:after="0" w:line="282" w:lineRule="auto"/>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Purchaser (or Viatris on Purchaser’s behalf) must have accepted for payment all Shares validly tendered pursuant to the Offer and not validly withdrawn.</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5" w:name="page36"/>
    <w:bookmarkEnd w:id="3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p>
      <w:pPr>
        <w:ind w:left="300" w:right="379"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Conversion of Capital Stock at the Effective Time</w:t>
      </w:r>
      <w:r>
        <w:rPr>
          <w:rFonts w:ascii="Times New Roman" w:cs="Times New Roman" w:eastAsia="Times New Roman" w:hAnsi="Times New Roman"/>
          <w:sz w:val="18"/>
          <w:szCs w:val="18"/>
          <w:color w:val="auto"/>
        </w:rPr>
        <w:t>. At the Effective Time, by virtue of the Merger, each Share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issued and outstanding immediately prior to the Effective Time (other than Shares held (i) by Pacira or any of its subsidiaries (including in Pacira’s treasury), (ii) by Viatris, Purchaser or any other wholly owned direct or indirect subsidiary of Viatris, which Shares will be canceled and will cease to exist and no consideration will be delivered in exchange therefor, or (iii) by Pacira stockholders who are entitled to demand appraisal rights under, and have properly exercised and perfected their respective demands for appraisal of such Shares in the time and manner provided in, Section 262 of the DGCL and, as of the Effective Time, have neither effectively withdrawn nor lost their rights to such appraisal and payment under the DGCL) will be converted into the right to receive the Offer Price, upon the terms and conditions set forth in the Merger Agreement.</w:t>
      </w:r>
    </w:p>
    <w:p>
      <w:pPr>
        <w:spacing w:after="0" w:line="82" w:lineRule="exact"/>
        <w:rPr>
          <w:sz w:val="20"/>
          <w:szCs w:val="20"/>
          <w:color w:val="auto"/>
        </w:rPr>
      </w:pPr>
    </w:p>
    <w:p>
      <w:pPr>
        <w:ind w:left="300" w:right="739" w:firstLine="360"/>
        <w:spacing w:after="0" w:line="282" w:lineRule="auto"/>
        <w:rPr>
          <w:sz w:val="20"/>
          <w:szCs w:val="20"/>
          <w:color w:val="auto"/>
        </w:rPr>
      </w:pPr>
      <w:r>
        <w:rPr>
          <w:rFonts w:ascii="Times New Roman" w:cs="Times New Roman" w:eastAsia="Times New Roman" w:hAnsi="Times New Roman"/>
          <w:sz w:val="18"/>
          <w:szCs w:val="18"/>
          <w:color w:val="auto"/>
        </w:rPr>
        <w:t>Each share of the common stock of Purchaser outstanding immediately prior to the Effective Time will be converted into and become one (1) share of common stock of the Surviving Corporation.</w:t>
      </w:r>
    </w:p>
    <w:p>
      <w:pPr>
        <w:spacing w:after="0" w:line="54" w:lineRule="exact"/>
        <w:rPr>
          <w:sz w:val="20"/>
          <w:szCs w:val="20"/>
          <w:color w:val="auto"/>
        </w:rPr>
      </w:pPr>
    </w:p>
    <w:p>
      <w:pPr>
        <w:ind w:left="300" w:right="419" w:firstLine="360"/>
        <w:spacing w:after="0" w:line="255" w:lineRule="auto"/>
        <w:rPr>
          <w:sz w:val="20"/>
          <w:szCs w:val="20"/>
          <w:color w:val="auto"/>
        </w:rPr>
      </w:pPr>
      <w:r>
        <w:rPr>
          <w:rFonts w:ascii="Times New Roman" w:cs="Times New Roman" w:eastAsia="Times New Roman" w:hAnsi="Times New Roman"/>
          <w:sz w:val="18"/>
          <w:szCs w:val="18"/>
          <w:color w:val="auto"/>
        </w:rPr>
        <w:t>At the close of business on the day of the Effective Time, the stock transfer books of Pacira with respect to the Shares will be closed and thereafter there will be no further registration of transfers of Shares on the records of Pacira. From and after the Effective Time, the holders of the Shares outstanding immediately prior to the Effective Time will cease to have any rights with respect to such Shares other than the right to receive, upon surrender of stock certificates or book-entry shares in accordance with the procedures set forth in the Merger Agreement, the Merger Consideration, or, with respect to Shares of a holder who exercises appraisal rights in accordance with the DGCL, the rights set forth in Section 262 of the DGCL.</w:t>
      </w:r>
    </w:p>
    <w:p>
      <w:pPr>
        <w:spacing w:after="0" w:line="79" w:lineRule="exact"/>
        <w:rPr>
          <w:sz w:val="20"/>
          <w:szCs w:val="20"/>
          <w:color w:val="auto"/>
        </w:rPr>
      </w:pPr>
    </w:p>
    <w:p>
      <w:pPr>
        <w:ind w:left="300" w:right="59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Treatment of Equity Awards, LTIP Awards and Restricted Cash Awards</w:t>
      </w:r>
      <w:r>
        <w:rPr>
          <w:rFonts w:ascii="Times New Roman" w:cs="Times New Roman" w:eastAsia="Times New Roman" w:hAnsi="Times New Roman"/>
          <w:sz w:val="18"/>
          <w:szCs w:val="18"/>
          <w:color w:val="auto"/>
        </w:rPr>
        <w:t>. Pursuant to the terms of the Merger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at the Effective Time, subject to all required withholding taxes:</w:t>
      </w:r>
    </w:p>
    <w:p>
      <w:pPr>
        <w:spacing w:after="0" w:line="52" w:lineRule="exact"/>
        <w:rPr>
          <w:sz w:val="20"/>
          <w:szCs w:val="20"/>
          <w:color w:val="auto"/>
        </w:rPr>
      </w:pPr>
    </w:p>
    <w:p>
      <w:pPr>
        <w:ind w:left="1000" w:right="359" w:hanging="348"/>
        <w:spacing w:after="0" w:line="255" w:lineRule="auto"/>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Pacira Option that is outstanding immediately prior to the Effective Time, whether vested or unvested, will be canceled and converted into the right to receive an amount in cash, without interest, equal to the product of (i) the total number of Shares subject to such Pacira Option immediately prior to the Effective Time, multiplied by (ii) the excess, if any, of (x) the Offer Price minus (y) the exercise price per Share of such Pacira Option, provided that each Pacira Option that has an exercise price per Share that is equal to or greater than the Offer Price, if any, will be canceled without any consideration payable (whether in the form of cash or otherwise) therefor, whether before or after the Effective Time;</w:t>
      </w:r>
    </w:p>
    <w:p>
      <w:pPr>
        <w:spacing w:after="0" w:line="80" w:lineRule="exact"/>
        <w:rPr>
          <w:rFonts w:ascii="Times New Roman" w:cs="Times New Roman" w:eastAsia="Times New Roman" w:hAnsi="Times New Roman"/>
          <w:sz w:val="18"/>
          <w:szCs w:val="18"/>
          <w:color w:val="auto"/>
        </w:rPr>
      </w:pPr>
    </w:p>
    <w:p>
      <w:pPr>
        <w:ind w:left="1000" w:right="419" w:hanging="348"/>
        <w:spacing w:after="0" w:line="261" w:lineRule="auto"/>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Pacira RSU that is outstanding immediately prior to the Effective Time, whether vested or unvested, will be canceled and converted into the right to receive an amount in cash, without interest, equal to the product of (i) the total number of Shares issuable in settlement of such Pacira RSU, multiplied by (ii) the Offer Price;</w:t>
      </w:r>
    </w:p>
    <w:p>
      <w:pPr>
        <w:spacing w:after="0" w:line="71" w:lineRule="exact"/>
        <w:rPr>
          <w:rFonts w:ascii="Times New Roman" w:cs="Times New Roman" w:eastAsia="Times New Roman" w:hAnsi="Times New Roman"/>
          <w:sz w:val="18"/>
          <w:szCs w:val="18"/>
          <w:color w:val="auto"/>
        </w:rPr>
      </w:pPr>
    </w:p>
    <w:p>
      <w:pPr>
        <w:ind w:left="1000" w:right="439" w:hanging="348"/>
        <w:spacing w:after="0" w:line="258" w:lineRule="auto"/>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Pacira PSU that is outstanding immediately prior to the Effective Time, whether vested or unvested, will be canceled and converted into the right to receive an amount in cash, without interest, equal to the product of (i) the total number of Shares issuable in settlement of such Pacira PSU (determined in accordance with Section 3.4 of the applicable Pacira PSU award agreement), multiplied by (ii) the Offer Price;</w:t>
      </w:r>
    </w:p>
    <w:p>
      <w:pPr>
        <w:spacing w:after="0" w:line="75" w:lineRule="exact"/>
        <w:rPr>
          <w:rFonts w:ascii="Times New Roman" w:cs="Times New Roman" w:eastAsia="Times New Roman" w:hAnsi="Times New Roman"/>
          <w:sz w:val="18"/>
          <w:szCs w:val="18"/>
          <w:color w:val="auto"/>
        </w:rPr>
      </w:pPr>
    </w:p>
    <w:p>
      <w:pPr>
        <w:ind w:left="1000" w:right="359" w:hanging="348"/>
        <w:spacing w:after="0" w:line="258" w:lineRule="auto"/>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cash-based award granted pursuant to Pacira’s cash-based Long-Term Incentive Plan (each, a “Pacira LTIP Award”) that is outstanding as of immediately prior to the Effective Time, whether vested or unvested, will be canceled and converted into the right to receive an amount in cash as determined by the Pacira Board (or the appropriate committee thereof) prior to the Effective Time in accordance with Section 10(a) of Pacira’s Long-Term Incentive Plan; and</w:t>
      </w:r>
    </w:p>
    <w:p>
      <w:pPr>
        <w:spacing w:after="0" w:line="75" w:lineRule="exact"/>
        <w:rPr>
          <w:rFonts w:ascii="Times New Roman" w:cs="Times New Roman" w:eastAsia="Times New Roman" w:hAnsi="Times New Roman"/>
          <w:sz w:val="18"/>
          <w:szCs w:val="18"/>
          <w:color w:val="auto"/>
        </w:rPr>
      </w:pPr>
    </w:p>
    <w:p>
      <w:pPr>
        <w:ind w:left="1000" w:right="319" w:hanging="348"/>
        <w:spacing w:after="0" w:line="256" w:lineRule="auto"/>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restricted cash award granted pursuant to a restricted cash award notice and restricted cash award agreement (each, a “Pacira Restricted Cash Award”) that is outstanding as of immediately prior to the Effective Time, whether vested or unvested, will be canceled and converted into the right to receive an amount in cash equal to the sum of (i) any portion of the Pacira Restricted Cash Award that is vested but remains unpaid as of the Effective Time and (ii) the amount of Unvested Cash (as defined in the applicable Pacira Restricted Cash Award agreement) with respect to the Pacira Restricted Cash Award.</w:t>
      </w:r>
    </w:p>
    <w:p>
      <w:pPr>
        <w:spacing w:after="0" w:line="79" w:lineRule="exact"/>
        <w:rPr>
          <w:sz w:val="20"/>
          <w:szCs w:val="20"/>
          <w:color w:val="auto"/>
        </w:rPr>
      </w:pPr>
    </w:p>
    <w:p>
      <w:pPr>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Any amounts payable with respect to Pacira Options, Pacira RSUs, Pacira PSUs, Pacira LTIP Awards and Pacira Restricted Cash Awards will be fully vested as of the Effective Time with any such payments made as soon as reasonably practicable after the Effective Time and subject to applicable tax withholdings.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6" w:name="page37"/>
    <w:bookmarkEnd w:id="3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Treatment of Pacira ESPP.</w:t>
      </w:r>
    </w:p>
    <w:p>
      <w:pPr>
        <w:spacing w:after="0" w:line="119" w:lineRule="exact"/>
        <w:rPr>
          <w:sz w:val="20"/>
          <w:szCs w:val="20"/>
          <w:color w:val="auto"/>
        </w:rPr>
      </w:pPr>
    </w:p>
    <w:p>
      <w:pPr>
        <w:ind w:left="300" w:right="459" w:firstLine="360"/>
        <w:spacing w:after="0" w:line="266" w:lineRule="auto"/>
        <w:rPr>
          <w:sz w:val="20"/>
          <w:szCs w:val="20"/>
          <w:color w:val="auto"/>
        </w:rPr>
      </w:pPr>
      <w:r>
        <w:rPr>
          <w:rFonts w:ascii="Times New Roman" w:cs="Times New Roman" w:eastAsia="Times New Roman" w:hAnsi="Times New Roman"/>
          <w:sz w:val="18"/>
          <w:szCs w:val="18"/>
          <w:color w:val="auto"/>
        </w:rPr>
        <w:t>If you are a participant in the Pacira ESPP, you may tender Shares that you have purchased through the Pacira ESPP. If you have purchased Shares through the Pacira ESPP and hold such Shares, you may instruct the administrator of the Pacira ESPP to tender your Shares by the deadline provided in the Offer.</w:t>
      </w:r>
    </w:p>
    <w:p>
      <w:pPr>
        <w:spacing w:after="0" w:line="68" w:lineRule="exact"/>
        <w:rPr>
          <w:sz w:val="20"/>
          <w:szCs w:val="20"/>
          <w:color w:val="auto"/>
        </w:rPr>
      </w:pPr>
    </w:p>
    <w:p>
      <w:pPr>
        <w:ind w:left="300" w:right="439" w:firstLine="360"/>
        <w:spacing w:after="0" w:line="257" w:lineRule="auto"/>
        <w:rPr>
          <w:sz w:val="20"/>
          <w:szCs w:val="20"/>
          <w:color w:val="auto"/>
        </w:rPr>
      </w:pPr>
      <w:r>
        <w:rPr>
          <w:rFonts w:ascii="Times New Roman" w:cs="Times New Roman" w:eastAsia="Times New Roman" w:hAnsi="Times New Roman"/>
          <w:sz w:val="18"/>
          <w:szCs w:val="18"/>
          <w:color w:val="auto"/>
        </w:rPr>
        <w:t>In addition, the Merger Agreement provides that if the closing of the Merger will occur prior to the end of any offering period in existence under the Pacira ESPP as of the Closing Date, Pacira will take all reasonable actions required to cause a new purchase date to be set under the Pacira ESPP, which date shall not be fewer than</w:t>
      </w:r>
    </w:p>
    <w:p>
      <w:pPr>
        <w:spacing w:after="0" w:line="1" w:lineRule="exact"/>
        <w:rPr>
          <w:sz w:val="20"/>
          <w:szCs w:val="20"/>
          <w:color w:val="auto"/>
        </w:rPr>
      </w:pPr>
    </w:p>
    <w:p>
      <w:pPr>
        <w:ind w:left="300" w:right="399"/>
        <w:spacing w:after="0" w:line="253" w:lineRule="auto"/>
        <w:rPr>
          <w:sz w:val="20"/>
          <w:szCs w:val="20"/>
          <w:color w:val="auto"/>
        </w:rPr>
      </w:pPr>
      <w:r>
        <w:rPr>
          <w:rFonts w:ascii="Times New Roman" w:cs="Times New Roman" w:eastAsia="Times New Roman" w:hAnsi="Times New Roman"/>
          <w:sz w:val="18"/>
          <w:szCs w:val="18"/>
          <w:color w:val="auto"/>
        </w:rPr>
        <w:t>two (2) Business Days prior to the Closing Date, for the automatic purchase of Shares on such date. Each Share automatically purchased on the new exercise date contemplated in the Merger Agreement will be converted into the right to receive the Offer Price, subject to applicable tax withholdings. The Pacira ESPP will be terminated upon closing of the Merger.</w:t>
      </w:r>
    </w:p>
    <w:p>
      <w:pPr>
        <w:spacing w:after="0" w:line="81" w:lineRule="exact"/>
        <w:rPr>
          <w:sz w:val="20"/>
          <w:szCs w:val="20"/>
          <w:color w:val="auto"/>
        </w:rPr>
      </w:pPr>
    </w:p>
    <w:p>
      <w:pPr>
        <w:jc w:val="both"/>
        <w:ind w:left="300" w:right="399" w:firstLine="360"/>
        <w:spacing w:after="0" w:line="266" w:lineRule="auto"/>
        <w:rPr>
          <w:sz w:val="20"/>
          <w:szCs w:val="20"/>
          <w:color w:val="auto"/>
        </w:rPr>
      </w:pPr>
      <w:r>
        <w:rPr>
          <w:rFonts w:ascii="Times New Roman" w:cs="Times New Roman" w:eastAsia="Times New Roman" w:hAnsi="Times New Roman"/>
          <w:sz w:val="18"/>
          <w:szCs w:val="18"/>
          <w:color w:val="auto"/>
        </w:rPr>
        <w:t>Pursuant to the Merger Agreement, the amount of your accumulated contributions under the Pacira ESPP as of immediately prior to the Effective Time, to the extent not used to purchase Shares in accordance with the terms and conditions of the Pacira ESPP, will be refunded to you in cash, subject to any applicable withholding taxes.</w:t>
      </w:r>
    </w:p>
    <w:p>
      <w:pPr>
        <w:spacing w:after="0" w:line="2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Treatment of Convertible Notes.</w:t>
      </w:r>
    </w:p>
    <w:p>
      <w:pPr>
        <w:spacing w:after="0" w:line="119" w:lineRule="exact"/>
        <w:rPr>
          <w:sz w:val="20"/>
          <w:szCs w:val="20"/>
          <w:color w:val="auto"/>
        </w:rPr>
      </w:pPr>
    </w:p>
    <w:p>
      <w:pPr>
        <w:ind w:left="300" w:right="419" w:firstLine="360"/>
        <w:spacing w:after="0" w:line="255" w:lineRule="auto"/>
        <w:rPr>
          <w:sz w:val="20"/>
          <w:szCs w:val="20"/>
          <w:color w:val="auto"/>
        </w:rPr>
      </w:pPr>
      <w:r>
        <w:rPr>
          <w:rFonts w:ascii="Times New Roman" w:cs="Times New Roman" w:eastAsia="Times New Roman" w:hAnsi="Times New Roman"/>
          <w:sz w:val="18"/>
          <w:szCs w:val="18"/>
          <w:color w:val="auto"/>
        </w:rPr>
        <w:t>The Convertible Notes were issued pursuant to the Indenture and are not being acquired in the Offer. As of October 7, 2026, there was $287,500,000 in aggregate principal amount of Convertible Notes outstanding. The consummation of the Offer and the Merger may each constitute a “Fundamental Change” or a “Make-Whole Fundamental Change” (each as defined in the Indenture) under the Indenture, which may give noteholders the right to require Pacira to repurchase such Convertible Notes for cash at a price equal to 100% of the principal amount thereof plus any accrued and unpaid interest, or the right to convert such Convertible Notes at an increased conversion rate, in each case, in accordance with the terms of the Indenture.</w:t>
      </w:r>
    </w:p>
    <w:p>
      <w:pPr>
        <w:spacing w:after="0" w:line="81"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Pursuant to the Merger Agreement, Pacira has agreed, within the time periods required by the Indenture, to take all actions required by, or reasonably requested by Viatris pursuant to, the Indenture and applicable law to be performed by Pacira at or prior to the Effective Time as a result of the Merger Agreement or the consummation of the transactions contemplated thereby, which may include (i) any actions with respect to repurchases or conversions of the Convertible Notes occurring as a result of or in connection with the transactions contemplated by the Merger Agreement constituting a Fundamental Change or a Make-Whole Fundamental Change and (ii) the giving of any notices that may be required or reasonably requested by Viatris and delivery of any required documents or instruments, including any supplemental indenture, officer’s certificates and legal opinions contemplated by the Indenture, to the trustee and noteholders.</w:t>
      </w:r>
    </w:p>
    <w:p>
      <w:pPr>
        <w:spacing w:after="0" w:line="80" w:lineRule="exact"/>
        <w:rPr>
          <w:sz w:val="20"/>
          <w:szCs w:val="20"/>
          <w:color w:val="auto"/>
        </w:rPr>
      </w:pPr>
    </w:p>
    <w:p>
      <w:pPr>
        <w:ind w:left="300" w:right="339" w:firstLine="360"/>
        <w:spacing w:after="0" w:line="266" w:lineRule="auto"/>
        <w:rPr>
          <w:sz w:val="20"/>
          <w:szCs w:val="20"/>
          <w:color w:val="auto"/>
        </w:rPr>
      </w:pPr>
      <w:r>
        <w:rPr>
          <w:rFonts w:ascii="Times New Roman" w:cs="Times New Roman" w:eastAsia="Times New Roman" w:hAnsi="Times New Roman"/>
          <w:sz w:val="18"/>
          <w:szCs w:val="18"/>
          <w:color w:val="auto"/>
        </w:rPr>
        <w:t>For a description of the covenants of Pacira and Viatris with respect to the Convertible Notes and the related Capped Call Transactions under the Merger Agreement, see subsections “—Convertible Notes” and “—Capped Call Transactions” below.</w:t>
      </w:r>
    </w:p>
    <w:p>
      <w:pPr>
        <w:spacing w:after="0" w:line="2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Representations and Warranties.</w:t>
      </w:r>
    </w:p>
    <w:p>
      <w:pPr>
        <w:spacing w:after="0" w:line="119" w:lineRule="exact"/>
        <w:rPr>
          <w:sz w:val="20"/>
          <w:szCs w:val="20"/>
          <w:color w:val="auto"/>
        </w:rPr>
      </w:pPr>
    </w:p>
    <w:p>
      <w:pPr>
        <w:ind w:left="300" w:right="359" w:firstLine="360"/>
        <w:spacing w:after="0" w:line="282" w:lineRule="auto"/>
        <w:rPr>
          <w:sz w:val="20"/>
          <w:szCs w:val="20"/>
          <w:color w:val="auto"/>
        </w:rPr>
      </w:pPr>
      <w:r>
        <w:rPr>
          <w:rFonts w:ascii="Times New Roman" w:cs="Times New Roman" w:eastAsia="Times New Roman" w:hAnsi="Times New Roman"/>
          <w:sz w:val="18"/>
          <w:szCs w:val="18"/>
          <w:color w:val="auto"/>
        </w:rPr>
        <w:t>In the Merger Agreement, Pacira has made representations and warranties to Viatris and Purchaser with respect to, among other things:</w:t>
      </w:r>
    </w:p>
    <w:p>
      <w:pPr>
        <w:spacing w:after="0" w:line="54" w:lineRule="exact"/>
        <w:rPr>
          <w:sz w:val="20"/>
          <w:szCs w:val="20"/>
          <w:color w:val="auto"/>
        </w:rPr>
      </w:pPr>
    </w:p>
    <w:p>
      <w:pPr>
        <w:ind w:left="1000" w:hanging="348"/>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matters, such as due organization, good standing and subsidiaries;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organizational documents;</w:t>
      </w:r>
    </w:p>
    <w:p>
      <w:pPr>
        <w:spacing w:after="0" w:line="117" w:lineRule="exact"/>
        <w:rPr>
          <w:rFonts w:ascii="Times New Roman" w:cs="Times New Roman" w:eastAsia="Times New Roman" w:hAnsi="Times New Roman"/>
          <w:sz w:val="18"/>
          <w:szCs w:val="18"/>
          <w:color w:val="auto"/>
        </w:rPr>
      </w:pPr>
    </w:p>
    <w:p>
      <w:pPr>
        <w:ind w:left="1000" w:right="679" w:hanging="348"/>
        <w:spacing w:after="0" w:line="282" w:lineRule="auto"/>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authority in connection with the Merger Agreement and the recommendation of the Pacira Board with respect to the Offer;</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capitalization;</w:t>
      </w:r>
    </w:p>
    <w:p>
      <w:pPr>
        <w:spacing w:after="0" w:line="117" w:lineRule="exact"/>
        <w:rPr>
          <w:rFonts w:ascii="Times New Roman" w:cs="Times New Roman" w:eastAsia="Times New Roman" w:hAnsi="Times New Roman"/>
          <w:sz w:val="18"/>
          <w:szCs w:val="18"/>
          <w:color w:val="auto"/>
        </w:rPr>
      </w:pPr>
    </w:p>
    <w:p>
      <w:pPr>
        <w:ind w:left="1000" w:right="479" w:hanging="348"/>
        <w:spacing w:after="0" w:line="282" w:lineRule="auto"/>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consents, notices and approvals, and the absence of conflicts with and violations or breaches of, or defaults under, organizational documents, material contracts, laws and Orders;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filings, financial statements and internal controls;</w:t>
      </w:r>
    </w:p>
    <w:p>
      <w:pPr>
        <w:spacing w:after="0" w:line="117" w:lineRule="exact"/>
        <w:rPr>
          <w:rFonts w:ascii="Times New Roman" w:cs="Times New Roman" w:eastAsia="Times New Roman" w:hAnsi="Times New Roman"/>
          <w:sz w:val="18"/>
          <w:szCs w:val="18"/>
          <w:color w:val="auto"/>
        </w:rPr>
      </w:pPr>
    </w:p>
    <w:p>
      <w:pPr>
        <w:ind w:left="1000" w:right="379" w:hanging="348"/>
        <w:spacing w:after="0" w:line="282" w:lineRule="auto"/>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of the Schedule 14D-9 with applicable law and accuracy of information supplied for the Offer and the Schedule TO;</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7" w:name="page38"/>
    <w:bookmarkEnd w:id="3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hanging="348"/>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certain changes or events;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privacy and information technology;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contracts;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undisclosed liabilities;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legal proceedings and Orders;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laws;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matters;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business practices;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authorizations;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matters;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and labor matters and benefit plans;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matters;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property and leases;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to assets;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203 of the DGCL;</w:t>
      </w:r>
    </w:p>
    <w:p>
      <w:pPr>
        <w:spacing w:after="0" w:line="117" w:lineRule="exact"/>
        <w:rPr>
          <w:rFonts w:ascii="Times New Roman" w:cs="Times New Roman" w:eastAsia="Times New Roman" w:hAnsi="Times New Roman"/>
          <w:sz w:val="18"/>
          <w:szCs w:val="18"/>
          <w:color w:val="auto"/>
        </w:rPr>
      </w:pPr>
    </w:p>
    <w:p>
      <w:pPr>
        <w:ind w:left="1000" w:right="539" w:hanging="348"/>
        <w:spacing w:after="0" w:line="282" w:lineRule="auto"/>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any required vote of Pacira stockholders to adopt the Merger Agreement and approve the Merger following the Offer Acceptance Time, assuming satisfaction of the Minimum Condition;</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opinion of Pacira’s financial advisor;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and other advisors;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related party transactions;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acknowledgments regarding Viatris and Purchaser’s representations and warranties.</w:t>
      </w:r>
    </w:p>
    <w:p>
      <w:pPr>
        <w:spacing w:after="0" w:line="117" w:lineRule="exact"/>
        <w:rPr>
          <w:sz w:val="20"/>
          <w:szCs w:val="20"/>
          <w:color w:val="auto"/>
        </w:rPr>
      </w:pPr>
    </w:p>
    <w:p>
      <w:pPr>
        <w:ind w:left="300" w:right="519" w:firstLine="360"/>
        <w:spacing w:after="0" w:line="269" w:lineRule="auto"/>
        <w:rPr>
          <w:sz w:val="20"/>
          <w:szCs w:val="20"/>
          <w:color w:val="auto"/>
        </w:rPr>
      </w:pPr>
      <w:r>
        <w:rPr>
          <w:rFonts w:ascii="Times New Roman" w:cs="Times New Roman" w:eastAsia="Times New Roman" w:hAnsi="Times New Roman"/>
          <w:sz w:val="17"/>
          <w:szCs w:val="17"/>
          <w:color w:val="auto"/>
        </w:rPr>
        <w:t>Some of the representations and warranties in the Merger Agreement made by Pacira are qualified as to “materiality” or “Material Adverse Effect.” For purposes of the Merger Agreement, a “Material Adverse Effect” means any change, effect, circumstance, fact, event, development or occurrence (each, an “Effect”) which, individually or in the aggregate, (i) has had, or would reasonably be expected to have, a material adverse effect on the business, assets, financial condition or results of operations of Pacira and its subsidiaries, taken as a whole, or</w:t>
      </w:r>
    </w:p>
    <w:p>
      <w:pPr>
        <w:spacing w:after="0" w:line="3" w:lineRule="exact"/>
        <w:rPr>
          <w:sz w:val="20"/>
          <w:szCs w:val="20"/>
          <w:color w:val="auto"/>
        </w:rPr>
      </w:pPr>
    </w:p>
    <w:p>
      <w:pPr>
        <w:ind w:left="300" w:right="299" w:hanging="8"/>
        <w:spacing w:after="0" w:line="252" w:lineRule="auto"/>
        <w:tabs>
          <w:tab w:leader="none" w:pos="56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would, or would reasonably be expected to, prevent, materially delay or materially impair the ability of Pacira to consummate the transactions contemplated by the Merger Agreement or to perform its obligations under the Merger Agreement. However, with respect to the foregoing clause (i) only, no Effect resulting from, arising out of or relating to any of the following will be deemed in and of itself, either alone or in combination with other Effects, to constitute, and no Effect resulting from, arising out of or relating to any of the following will be taken into account in determining whether there is, or would reasonably be expected to be, a Material Adverse Effect:</w:t>
      </w:r>
    </w:p>
    <w:p>
      <w:pPr>
        <w:spacing w:after="0" w:line="81" w:lineRule="exact"/>
        <w:rPr>
          <w:rFonts w:ascii="Times New Roman" w:cs="Times New Roman" w:eastAsia="Times New Roman" w:hAnsi="Times New Roman"/>
          <w:sz w:val="18"/>
          <w:szCs w:val="18"/>
          <w:color w:val="auto"/>
        </w:rPr>
      </w:pPr>
    </w:p>
    <w:p>
      <w:pPr>
        <w:ind w:left="1000" w:right="499" w:hanging="348"/>
        <w:spacing w:after="0" w:line="282" w:lineRule="auto"/>
        <w:tabs>
          <w:tab w:leader="none" w:pos="100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Effect generally affecting the U.S. or foreign economies, financial or securities markets, or political, legislative or regulatory conditions;</w:t>
      </w:r>
    </w:p>
    <w:p>
      <w:pPr>
        <w:spacing w:after="0" w:line="53" w:lineRule="exact"/>
        <w:rPr>
          <w:rFonts w:ascii="Times New Roman" w:cs="Times New Roman" w:eastAsia="Times New Roman" w:hAnsi="Times New Roman"/>
          <w:sz w:val="18"/>
          <w:szCs w:val="18"/>
          <w:color w:val="auto"/>
        </w:rPr>
      </w:pPr>
    </w:p>
    <w:p>
      <w:pPr>
        <w:ind w:left="1000" w:right="839" w:hanging="348"/>
        <w:spacing w:after="0" w:line="282" w:lineRule="auto"/>
        <w:tabs>
          <w:tab w:leader="none" w:pos="100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Effect arising out of or otherwise relating to fluctuations in the value of any currency exchange, interest or inflation rates or tariffs;</w:t>
      </w:r>
    </w:p>
    <w:p>
      <w:pPr>
        <w:spacing w:after="0" w:line="53" w:lineRule="exact"/>
        <w:rPr>
          <w:rFonts w:ascii="Times New Roman" w:cs="Times New Roman" w:eastAsia="Times New Roman" w:hAnsi="Times New Roman"/>
          <w:sz w:val="18"/>
          <w:szCs w:val="18"/>
          <w:color w:val="auto"/>
        </w:rPr>
      </w:pPr>
    </w:p>
    <w:p>
      <w:pPr>
        <w:ind w:left="1000" w:right="979" w:hanging="348"/>
        <w:spacing w:after="0" w:line="312" w:lineRule="auto"/>
        <w:tabs>
          <w:tab w:leader="none" w:pos="1000" w:val="left"/>
        </w:tabs>
        <w:numPr>
          <w:ilvl w:val="1"/>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Effect arising out of or otherwise relating to any change in any law or United States generally accepted accounting principles (“GAAP”) (or authoritative interpretations of any law or GAAP);</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8" w:name="page39"/>
    <w:bookmarkEnd w:id="3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519" w:hanging="348"/>
        <w:spacing w:after="0" w:line="266" w:lineRule="auto"/>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Effect arising out of or otherwise relating to any act of terrorism, outbreak of hostilities, acts of war, trade war, national or international calamity or any other similar event (or the escalation of any of the foregoing);</w:t>
      </w:r>
    </w:p>
    <w:p>
      <w:pPr>
        <w:spacing w:after="0" w:line="65" w:lineRule="exact"/>
        <w:rPr>
          <w:rFonts w:ascii="Times New Roman" w:cs="Times New Roman" w:eastAsia="Times New Roman" w:hAnsi="Times New Roman"/>
          <w:sz w:val="18"/>
          <w:szCs w:val="18"/>
          <w:color w:val="auto"/>
        </w:rPr>
      </w:pPr>
    </w:p>
    <w:p>
      <w:pPr>
        <w:ind w:left="1000" w:right="1119" w:hanging="348"/>
        <w:spacing w:after="0" w:line="284" w:lineRule="auto"/>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acts of god, natural disasters, </w:t>
      </w:r>
      <w:r>
        <w:rPr>
          <w:rFonts w:ascii="Times New Roman" w:cs="Times New Roman" w:eastAsia="Times New Roman" w:hAnsi="Times New Roman"/>
          <w:sz w:val="18"/>
          <w:szCs w:val="18"/>
          <w:i w:val="1"/>
          <w:iCs w:val="1"/>
          <w:color w:val="auto"/>
        </w:rPr>
        <w:t>force majeure</w:t>
      </w:r>
      <w:r>
        <w:rPr>
          <w:rFonts w:ascii="Times New Roman" w:cs="Times New Roman" w:eastAsia="Times New Roman" w:hAnsi="Times New Roman"/>
          <w:sz w:val="18"/>
          <w:szCs w:val="18"/>
          <w:color w:val="auto"/>
        </w:rPr>
        <w:t xml:space="preserve"> events, weather or environmental events, health emergencies, pandemics or epidemics (or the escalation of any of the foregoing);</w:t>
      </w:r>
    </w:p>
    <w:p>
      <w:pPr>
        <w:spacing w:after="0" w:line="52"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generally affecting the pharmaceutical or biotechnology industries;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in the market price or trading volume of Pacira’s stock or change in Pacira’s credit ratings;</w:t>
      </w:r>
    </w:p>
    <w:p>
      <w:pPr>
        <w:spacing w:after="0" w:line="117" w:lineRule="exact"/>
        <w:rPr>
          <w:rFonts w:ascii="Times New Roman" w:cs="Times New Roman" w:eastAsia="Times New Roman" w:hAnsi="Times New Roman"/>
          <w:sz w:val="18"/>
          <w:szCs w:val="18"/>
          <w:color w:val="auto"/>
        </w:rPr>
      </w:pPr>
    </w:p>
    <w:p>
      <w:pPr>
        <w:ind w:left="1000" w:right="1039" w:hanging="348"/>
        <w:spacing w:after="0" w:line="282" w:lineRule="auto"/>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Pacira to meet internal or analysts’ expectations, projections, forecasts, guidance or estimates, including the results of operations of Pacira;</w:t>
      </w:r>
    </w:p>
    <w:p>
      <w:pPr>
        <w:spacing w:after="0" w:line="53" w:lineRule="exact"/>
        <w:rPr>
          <w:rFonts w:ascii="Times New Roman" w:cs="Times New Roman" w:eastAsia="Times New Roman" w:hAnsi="Times New Roman"/>
          <w:sz w:val="18"/>
          <w:szCs w:val="18"/>
          <w:color w:val="auto"/>
        </w:rPr>
      </w:pPr>
    </w:p>
    <w:p>
      <w:pPr>
        <w:ind w:left="1000" w:right="419" w:hanging="348"/>
        <w:spacing w:after="0" w:line="254" w:lineRule="auto"/>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Effect or other matter resulting from the execution, announcement or pendency of the Merger Agreement and the transactions contemplated by the Merger Agreement, including any Effect related to the identity of Viatris, Purchaser or any of their affiliates or representatives or any resulting impact on the relationship of Pacira with any of its current or prospective suppliers, customers, wholesalers, service providers, distributors, licensors, licensees, regulators, employees, creditors or other third parties (other than for purposes of any representation or warranty regarding non-contravention and consents or any representation or warranty to the extent that the purpose of such representation or warranty is to address the consequences of the execution, announcement or pendency of the Merger Agreement and the transactions contemplated thereby); and</w:t>
      </w:r>
    </w:p>
    <w:p>
      <w:pPr>
        <w:spacing w:after="0" w:line="80" w:lineRule="exact"/>
        <w:rPr>
          <w:rFonts w:ascii="Times New Roman" w:cs="Times New Roman" w:eastAsia="Times New Roman" w:hAnsi="Times New Roman"/>
          <w:sz w:val="18"/>
          <w:szCs w:val="18"/>
          <w:color w:val="auto"/>
        </w:rPr>
      </w:pPr>
    </w:p>
    <w:p>
      <w:pPr>
        <w:ind w:left="1000" w:right="539" w:hanging="348"/>
        <w:spacing w:after="0" w:line="255" w:lineRule="auto"/>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Effect arising out of or otherwise directly relating to (A) any action taken by Pacira at the express prior written direction or with the express prior written approval of Viatris or (B) any action specifically required to be taken by Pacira, or any failure of Pacira to take any action that Pacira is specifically prohibited from taking, in each case of this clause (B), pursuant to the terms of the Merger Agreement (other than the interim operating covenants described below under subsection “—Conduct of Business Pending the Merger,” unless such action or failure to take action is due to Viatris unreasonably withholding, conditioning or delaying a consent requested by Pacira thereunder);</w:t>
      </w:r>
    </w:p>
    <w:p>
      <w:pPr>
        <w:spacing w:after="0" w:line="81" w:lineRule="exact"/>
        <w:rPr>
          <w:sz w:val="20"/>
          <w:szCs w:val="20"/>
          <w:color w:val="auto"/>
        </w:rPr>
      </w:pPr>
    </w:p>
    <w:p>
      <w:pPr>
        <w:ind w:left="300" w:right="379"/>
        <w:spacing w:after="0" w:line="255" w:lineRule="auto"/>
        <w:rPr>
          <w:sz w:val="20"/>
          <w:szCs w:val="20"/>
          <w:color w:val="auto"/>
        </w:rPr>
      </w:pPr>
      <w:r>
        <w:rPr>
          <w:rFonts w:ascii="Times New Roman" w:cs="Times New Roman" w:eastAsia="Times New Roman" w:hAnsi="Times New Roman"/>
          <w:sz w:val="18"/>
          <w:szCs w:val="18"/>
          <w:color w:val="auto"/>
        </w:rPr>
        <w:t>except that, in the case of the matters described in the first six bulleted clauses above, such exclusion will only be applicable to the extent such matter does not have a disproportionate Effect on Pacira relative to other companies operating in the pharmaceutical or biotechnology industries, in which case such Effect will be taken into account only to the extent of such disproportionate Effect, and, in the case of the matters described in the seventh and eighth bulleted clauses above, the underlying causes of any such Effect may be considered in determining whether a Material Adverse Effect has occurred to the extent not otherwise excluded by another exception in the definition of Material Adverse Effect.</w:t>
      </w:r>
    </w:p>
    <w:p>
      <w:pPr>
        <w:spacing w:after="0" w:line="81" w:lineRule="exact"/>
        <w:rPr>
          <w:sz w:val="20"/>
          <w:szCs w:val="20"/>
          <w:color w:val="auto"/>
        </w:rPr>
      </w:pPr>
    </w:p>
    <w:p>
      <w:pPr>
        <w:ind w:left="300" w:right="819" w:firstLine="360"/>
        <w:spacing w:after="0" w:line="282" w:lineRule="auto"/>
        <w:rPr>
          <w:sz w:val="20"/>
          <w:szCs w:val="20"/>
          <w:color w:val="auto"/>
        </w:rPr>
      </w:pPr>
      <w:r>
        <w:rPr>
          <w:rFonts w:ascii="Times New Roman" w:cs="Times New Roman" w:eastAsia="Times New Roman" w:hAnsi="Times New Roman"/>
          <w:sz w:val="18"/>
          <w:szCs w:val="18"/>
          <w:color w:val="auto"/>
        </w:rPr>
        <w:t>In the Merger Agreement, Viatris and Purchaser have made representations and warranties to Pacira with respect to, among other things:</w:t>
      </w:r>
    </w:p>
    <w:p>
      <w:pPr>
        <w:spacing w:after="0" w:line="54" w:lineRule="exact"/>
        <w:rPr>
          <w:sz w:val="20"/>
          <w:szCs w:val="20"/>
          <w:color w:val="auto"/>
        </w:rPr>
      </w:pPr>
    </w:p>
    <w:p>
      <w:pPr>
        <w:ind w:left="1000" w:hanging="348"/>
        <w:spacing w:after="0"/>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matters, such as due organization and good standing;</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Purchaser’s business activities and Viatris’ ownership of Purchaser;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authority and enforceability in connection with the Merger Agreement;</w:t>
      </w:r>
    </w:p>
    <w:p>
      <w:pPr>
        <w:spacing w:after="0" w:line="117" w:lineRule="exact"/>
        <w:rPr>
          <w:rFonts w:ascii="Times New Roman" w:cs="Times New Roman" w:eastAsia="Times New Roman" w:hAnsi="Times New Roman"/>
          <w:sz w:val="18"/>
          <w:szCs w:val="18"/>
          <w:color w:val="auto"/>
        </w:rPr>
      </w:pPr>
    </w:p>
    <w:p>
      <w:pPr>
        <w:ind w:left="1000" w:right="879" w:hanging="348"/>
        <w:spacing w:after="0" w:line="282" w:lineRule="auto"/>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consents and approvals, and the absence of conflicts with and violations or breaches of, or defaults under, organizational documents, contracts, laws and Orders;</w:t>
      </w:r>
    </w:p>
    <w:p>
      <w:pPr>
        <w:spacing w:after="0" w:line="53" w:lineRule="exact"/>
        <w:rPr>
          <w:rFonts w:ascii="Times New Roman" w:cs="Times New Roman" w:eastAsia="Times New Roman" w:hAnsi="Times New Roman"/>
          <w:sz w:val="18"/>
          <w:szCs w:val="18"/>
          <w:color w:val="auto"/>
        </w:rPr>
      </w:pPr>
    </w:p>
    <w:p>
      <w:pPr>
        <w:ind w:left="1000" w:right="459" w:hanging="348"/>
        <w:spacing w:after="0" w:line="282" w:lineRule="auto"/>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compliance of the Offer Documents with applicable law and the accuracy of information supplied for the Offer and the Solicitation/Recommendation Statement on Schedule 14D-9 of Pacira;</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legal proceedings and Orders;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solvency;</w:t>
      </w:r>
    </w:p>
    <w:p>
      <w:pPr>
        <w:spacing w:after="0" w:line="117" w:lineRule="exact"/>
        <w:rPr>
          <w:rFonts w:ascii="Times New Roman" w:cs="Times New Roman" w:eastAsia="Times New Roman" w:hAnsi="Times New Roman"/>
          <w:sz w:val="18"/>
          <w:szCs w:val="18"/>
          <w:color w:val="auto"/>
        </w:rPr>
      </w:pPr>
    </w:p>
    <w:p>
      <w:pPr>
        <w:ind w:left="1000" w:right="479" w:hanging="348"/>
        <w:spacing w:after="0" w:line="266" w:lineRule="auto"/>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ownership of securities of Pacira, the absence of any Rule 10b5-1 plan covering Pacira stock, “interested stockholder” status under Section 203 of the DGCL and absence of certain arrangements with Pacira stockholders, directors, officers, employees and affiliates;</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and other advisors;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9" w:name="page40"/>
    <w:bookmarkEnd w:id="3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879" w:hanging="348"/>
        <w:spacing w:after="0" w:line="282" w:lineRule="auto"/>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sufficient cash or other liquid financial resources to consummate the transactions contemplated by the Merger Agreement; and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acknowledgments regarding Pacira’s representations and warranties.</w:t>
      </w:r>
    </w:p>
    <w:p>
      <w:pPr>
        <w:spacing w:after="0" w:line="117" w:lineRule="exact"/>
        <w:rPr>
          <w:sz w:val="20"/>
          <w:szCs w:val="20"/>
          <w:color w:val="auto"/>
        </w:rPr>
      </w:pPr>
    </w:p>
    <w:p>
      <w:pPr>
        <w:ind w:left="300" w:right="439" w:firstLine="360"/>
        <w:spacing w:after="0" w:line="256" w:lineRule="auto"/>
        <w:rPr>
          <w:sz w:val="20"/>
          <w:szCs w:val="20"/>
          <w:color w:val="auto"/>
        </w:rPr>
      </w:pPr>
      <w:r>
        <w:rPr>
          <w:rFonts w:ascii="Times New Roman" w:cs="Times New Roman" w:eastAsia="Times New Roman" w:hAnsi="Times New Roman"/>
          <w:sz w:val="18"/>
          <w:szCs w:val="18"/>
          <w:color w:val="auto"/>
        </w:rPr>
        <w:t>Some of the representations and warranties in the Merger Agreement made by Viatris and Purchaser are qualified as to “materiality” or “Parent Material Adverse Effect.” For purposes of the Merger Agreement, a “Parent Material Adverse Effect” means any Effect that would, or would reasonably be expected to, individually or in the aggregate, prevent, materially delay or materially impair the ability of Viatris or Purchaser to consummate the transactions contemplated by the Merger Agreement or to perform their respective obligations under the Merger Agreement.</w:t>
      </w:r>
    </w:p>
    <w:p>
      <w:pPr>
        <w:spacing w:after="0" w:line="79" w:lineRule="exact"/>
        <w:rPr>
          <w:sz w:val="20"/>
          <w:szCs w:val="20"/>
          <w:color w:val="auto"/>
        </w:rPr>
      </w:pPr>
    </w:p>
    <w:p>
      <w:pPr>
        <w:ind w:left="300" w:right="479" w:firstLine="360"/>
        <w:spacing w:after="0" w:line="282" w:lineRule="auto"/>
        <w:rPr>
          <w:sz w:val="20"/>
          <w:szCs w:val="20"/>
          <w:color w:val="auto"/>
        </w:rPr>
      </w:pPr>
      <w:r>
        <w:rPr>
          <w:rFonts w:ascii="Times New Roman" w:cs="Times New Roman" w:eastAsia="Times New Roman" w:hAnsi="Times New Roman"/>
          <w:sz w:val="18"/>
          <w:szCs w:val="18"/>
          <w:color w:val="auto"/>
        </w:rPr>
        <w:t>None of the representations or warranties contained in the Merger Agreement or in any certificate, instrument or document delivered pursuant to the Merger Agreement will survive the Effective Time.</w:t>
      </w:r>
    </w:p>
    <w:p>
      <w:pPr>
        <w:spacing w:after="0" w:line="52"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Conduct of Business Pending the Merger</w:t>
      </w:r>
      <w:r>
        <w:rPr>
          <w:rFonts w:ascii="Times New Roman" w:cs="Times New Roman" w:eastAsia="Times New Roman" w:hAnsi="Times New Roman"/>
          <w:sz w:val="18"/>
          <w:szCs w:val="18"/>
          <w:color w:val="auto"/>
        </w:rPr>
        <w:t>. Pacira has agreed that, during the period from the date of the Merger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until the earlier of the Offer Acceptance Time and the termination of the Merger Agreement pursuant to its terms (the “Pre-Closing Period”), except (i) as expressly required under the Merger Agreement or as required by any applicable law, (ii) with the written consent of Viatris (which consent shall not be unreasonably withheld, conditioned or delayed) or (iii) as set forth in the confidential disclosure schedule of Pacira with respect to the Merger Agreement, Pacira will, and will cause each of its subsidiaries to, (A) conduct in all material respects its business and operations in the ordinary course of business consistent with past practice and (B) use its reasonable best efforts to preserve intact its current business organization, including by (1) maintaining and preserving its material assets and properties (including material intellectual property rights) in their current condition, ordinary wear and tear excepted, and (2) maintaining its relations and goodwill with its employees and all suppliers, licensors, customers, governmental bodies and other persons with whom it has material business relations (it being understood that no failure to take any action that is specifically prohibited by the negative covenants described in the paragraph below will be deemed a breach of such obligations if Pacira has requested Viatris’ consent to take such action and Viatris has denied such request).</w:t>
      </w:r>
    </w:p>
    <w:p>
      <w:pPr>
        <w:spacing w:after="0" w:line="79" w:lineRule="exact"/>
        <w:rPr>
          <w:sz w:val="20"/>
          <w:szCs w:val="20"/>
          <w:color w:val="auto"/>
        </w:rPr>
      </w:pPr>
    </w:p>
    <w:p>
      <w:pPr>
        <w:jc w:val="both"/>
        <w:ind w:left="300" w:right="379" w:firstLine="360"/>
        <w:spacing w:after="0" w:line="281" w:lineRule="auto"/>
        <w:rPr>
          <w:sz w:val="20"/>
          <w:szCs w:val="20"/>
          <w:color w:val="auto"/>
        </w:rPr>
      </w:pPr>
      <w:r>
        <w:rPr>
          <w:rFonts w:ascii="Times New Roman" w:cs="Times New Roman" w:eastAsia="Times New Roman" w:hAnsi="Times New Roman"/>
          <w:sz w:val="17"/>
          <w:szCs w:val="17"/>
          <w:color w:val="auto"/>
        </w:rPr>
        <w:t>Pacira has further agreed that, during the Pre-Closing Period, except (i) as expressly required under the Merger Agreement or as required by any applicable law, (ii) with the written consent of Viatris (which consent shall not be unreasonably withheld, conditioned or delayed) or (iii) as set forth in the confidential disclosure schedule of Pacira with respect to the Merger Agreement, Pacira will not, and will cause each of its subsidiaries not to:</w:t>
      </w:r>
    </w:p>
    <w:p>
      <w:pPr>
        <w:spacing w:after="0" w:line="56" w:lineRule="exact"/>
        <w:rPr>
          <w:sz w:val="20"/>
          <w:szCs w:val="20"/>
          <w:color w:val="auto"/>
        </w:rPr>
      </w:pPr>
    </w:p>
    <w:p>
      <w:pPr>
        <w:ind w:left="1000" w:right="919" w:hanging="348"/>
        <w:spacing w:after="0" w:line="282" w:lineRule="auto"/>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or permit the adoption of any amendment to its certificate of incorporation, bylaws or other organizational documents;</w:t>
      </w:r>
    </w:p>
    <w:p>
      <w:pPr>
        <w:spacing w:after="0" w:line="53" w:lineRule="exact"/>
        <w:rPr>
          <w:rFonts w:ascii="Times New Roman" w:cs="Times New Roman" w:eastAsia="Times New Roman" w:hAnsi="Times New Roman"/>
          <w:sz w:val="18"/>
          <w:szCs w:val="18"/>
          <w:color w:val="auto"/>
        </w:rPr>
      </w:pPr>
    </w:p>
    <w:p>
      <w:pPr>
        <w:ind w:left="1000" w:right="699" w:hanging="348"/>
        <w:spacing w:after="0" w:line="282" w:lineRule="auto"/>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establish a record date for, declare, accrue, set aside or pay any dividend or make any other distribution in respect of any shares of its capital stock (including the Shares);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52" w:lineRule="auto"/>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 redeem or otherwise reacquire any shares of its capital stock (including any Shares), or any rights, warrants or options to acquire (or any instrument convertible into or exchangeable for) any shares of its capital stock, other than (1) repurchases or reacquisitions in a manner consistent with past practice of Shares outstanding as of the date of the Merger Agreement pursuant to Pacira’s obligation (under written commitments in effect as of the date of the Merger Agreement) to purchase or reacquire Shares held by a current or former officer, employee, independent contractor, consultant or director of Pacira or any of its subsidiaries (each, a “Pacira Associate”) only upon termination of such associate’s employment or engagement by Pacira; (2) repurchases in a manner consistent with past practice of Pacira Options, Pacira RSUs and Pacira PSUs (or shares of capital stock issued upon the exercise or vesting thereof) outstanding on the date of the Merger Agreement (in cancellation thereof) pursuant to the terms of any such Pacira Option, Pacira RSU or Pacira PSU (in effect as of the date of the Merger Agreement) between Pacira and a Pacira Associate only upon termination of such person’s employment or engagement by Pacira; (3) in connection with withholding to satisfy the exercise price or tax obligations with respect to Pacira Options, Pacira RSUs and Pacira PSUs; or (4) settlement or conversion of any of the Convertible Notes pursuant to the terms of the Indenture as in effect as of the date of the Merger Agreement;</w:t>
      </w:r>
    </w:p>
    <w:p>
      <w:pPr>
        <w:spacing w:after="0" w:line="8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split, combine, subdivide or reclassify any Shares or other equity interests;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0" w:name="page41"/>
    <w:bookmarkEnd w:id="4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339" w:hanging="348"/>
        <w:spacing w:after="0" w:line="253" w:lineRule="auto"/>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sell, grant, deliver, pledge, transfer, encumber or authorize the issuance, sale, grant, delivery, pledge, transfer or encumbrance (other than pursuant to agreements in effect as of the date of the Merger Agreement) of any capital stock, equity interest or other security of Pacira or any of its subsidiaries, any subscription, option, call, warrant, restricted securities or right or obligation to acquire any such capital stock, equity interest or other security or any instrument convertible into or exchangeable for any such capital stock, equity interest or other security (except that Pacira may issue Shares required to be issued upon the exercise of Pacira Options or the vesting of Pacira Options, Pacira RSUs and Pacira PSUs, in each case, outstanding on the date of the Merger Agreement, Pacira may issue Pacira RSUs and Pacira PSUs to new employees who were offered Pacira Options, Pacira RSUs or Pacira PSUs as part of offer letters that were executed prior to the date of the Merger Agreement, and Pacira may issue Shares upon conversion of the Convertible Notes pursuant to the terms of the Indenture as in effect as of the date of the Merger Agreement);</w:t>
      </w:r>
    </w:p>
    <w:p>
      <w:pPr>
        <w:spacing w:after="0" w:line="81" w:lineRule="exact"/>
        <w:rPr>
          <w:rFonts w:ascii="Times New Roman" w:cs="Times New Roman" w:eastAsia="Times New Roman" w:hAnsi="Times New Roman"/>
          <w:sz w:val="18"/>
          <w:szCs w:val="18"/>
          <w:color w:val="auto"/>
        </w:rPr>
      </w:pPr>
    </w:p>
    <w:p>
      <w:pPr>
        <w:ind w:left="1000" w:right="319" w:hanging="348"/>
        <w:spacing w:after="0" w:line="252" w:lineRule="auto"/>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contemplated by the provisions of the Merger Agreement regarding the treatment of Pacira Options, Pacira RSUs, Pacira PSUs, Pacira LTIP Awards and Pacira Restricted Cash Awards or the issuance of securities permitted under the interim operating covenants described above or required by an employee benefit plan in existence as of the date of the Merger Agreement, (i) establish, adopt, terminate or amend any employee benefit plan, (ii) amend or waive any of its rights under, or accelerate the time of payment or vesting under, any employee benefit plan, (iii) take any action to fund or in any other way secure the payment of compensation or benefits under any employee benefit plan, (iv) pay any amount or benefit under, or grant or promise to grant any compensation or benefits under, any employee benefit plan (including the grant of any Pacira Option, Pacira RSU, Pacira PSU, Pacira LTIP Award, Pacira Restricted Cash Award or other equity or equity-based awards or the removal or modification of any restrictions in any employee benefit plan or awards made thereunder) or (v) provide for any increase in the compensation or benefits provided to any Pacira Associate or under any employee benefit plan, provided that Pacira or its subsidiaries may (A) amend any employee benefit plans to the extent required by applicable laws and</w:t>
      </w:r>
    </w:p>
    <w:p>
      <w:pPr>
        <w:spacing w:after="0" w:line="1" w:lineRule="exact"/>
        <w:rPr>
          <w:rFonts w:ascii="Times New Roman" w:cs="Times New Roman" w:eastAsia="Times New Roman" w:hAnsi="Times New Roman"/>
          <w:sz w:val="18"/>
          <w:szCs w:val="18"/>
          <w:color w:val="auto"/>
        </w:rPr>
      </w:pPr>
    </w:p>
    <w:p>
      <w:pPr>
        <w:ind w:left="1000" w:right="379" w:firstLine="3"/>
        <w:spacing w:after="0" w:line="255" w:lineRule="auto"/>
        <w:tabs>
          <w:tab w:leader="none" w:pos="1285"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annual or quarterly bonus or commission payments in the ordinary course of business consistent with past practice in accordance with the bonus or commission plans existing on the date of the Merger Agreement;</w:t>
      </w:r>
    </w:p>
    <w:p>
      <w:pPr>
        <w:spacing w:after="0" w:line="77" w:lineRule="exact"/>
        <w:rPr>
          <w:rFonts w:ascii="Times New Roman" w:cs="Times New Roman" w:eastAsia="Times New Roman" w:hAnsi="Times New Roman"/>
          <w:sz w:val="18"/>
          <w:szCs w:val="18"/>
          <w:color w:val="auto"/>
        </w:rPr>
      </w:pPr>
    </w:p>
    <w:p>
      <w:pPr>
        <w:ind w:left="1000" w:right="419" w:hanging="348"/>
        <w:spacing w:after="0" w:line="258" w:lineRule="auto"/>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enter into (A) any change-of-control or retention agreement with any officer, employee, director or independent contractor or (B) any employment, severance or other material agreement with any officer or employee with an annual base salary greater than $200,000, (ii) enter into any consulting agreement with an independent contractor involving annual compensation exceeding $200,000 or (iii) hire or terminate (other than for cause) any employee with an annual base salary in excess of $200,000;</w:t>
      </w:r>
    </w:p>
    <w:p>
      <w:pPr>
        <w:spacing w:after="0" w:line="75" w:lineRule="exact"/>
        <w:rPr>
          <w:rFonts w:ascii="Times New Roman" w:cs="Times New Roman" w:eastAsia="Times New Roman" w:hAnsi="Times New Roman"/>
          <w:sz w:val="18"/>
          <w:szCs w:val="18"/>
          <w:color w:val="auto"/>
        </w:rPr>
      </w:pPr>
    </w:p>
    <w:p>
      <w:pPr>
        <w:ind w:left="1000" w:right="319" w:hanging="348"/>
        <w:spacing w:after="0" w:line="266" w:lineRule="auto"/>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any subsidiary, authorize or enter into agreements providing for any acquisitions of equity interests in or assets or properties of any other entity or any business or division thereof, or enter into any material joint venture, partnership, collaboration, profit-sharing or similar arrangements;</w:t>
      </w:r>
    </w:p>
    <w:p>
      <w:pPr>
        <w:spacing w:after="0" w:line="67" w:lineRule="exact"/>
        <w:rPr>
          <w:rFonts w:ascii="Times New Roman" w:cs="Times New Roman" w:eastAsia="Times New Roman" w:hAnsi="Times New Roman"/>
          <w:sz w:val="18"/>
          <w:szCs w:val="18"/>
          <w:color w:val="auto"/>
        </w:rPr>
      </w:pPr>
    </w:p>
    <w:p>
      <w:pPr>
        <w:ind w:left="1000" w:right="559" w:hanging="348"/>
        <w:spacing w:after="0" w:line="257" w:lineRule="auto"/>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or authorize any capital expenditure, other than any capital expenditure (A) that is provided for in Pacira’s capital expense budget delivered or made available to Viatris prior to the date of the Merger Agreement, which expenditures shall be in accordance with the categories set forth in such budget, or</w:t>
      </w:r>
    </w:p>
    <w:p>
      <w:pPr>
        <w:spacing w:after="0" w:line="1" w:lineRule="exact"/>
        <w:rPr>
          <w:rFonts w:ascii="Times New Roman" w:cs="Times New Roman" w:eastAsia="Times New Roman" w:hAnsi="Times New Roman"/>
          <w:sz w:val="18"/>
          <w:szCs w:val="18"/>
          <w:color w:val="auto"/>
        </w:rPr>
      </w:pPr>
    </w:p>
    <w:p>
      <w:pPr>
        <w:ind w:left="1000" w:right="519" w:firstLine="3"/>
        <w:spacing w:after="0" w:line="253" w:lineRule="auto"/>
        <w:tabs>
          <w:tab w:leader="none" w:pos="1285"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when added to all other capital expenditures made on behalf of Pacira and its subsidiaries since the date of the Merger Agreement but not provided for in Pacira’s capital expense budget delivered or made available to Viatris prior to the date of the Merger Agreement, does not exceed $500,000 in the aggregate during any fiscal quarter;</w:t>
      </w:r>
    </w:p>
    <w:p>
      <w:pPr>
        <w:spacing w:after="0" w:line="80" w:lineRule="exact"/>
        <w:rPr>
          <w:rFonts w:ascii="Times New Roman" w:cs="Times New Roman" w:eastAsia="Times New Roman" w:hAnsi="Times New Roman"/>
          <w:sz w:val="18"/>
          <w:szCs w:val="18"/>
          <w:color w:val="auto"/>
        </w:rPr>
      </w:pPr>
    </w:p>
    <w:p>
      <w:pPr>
        <w:ind w:left="1000" w:right="339" w:hanging="348"/>
        <w:spacing w:after="0" w:line="255" w:lineRule="auto"/>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lease, sublease, license, sublicense, pledge, sell or otherwise dispose of, divest or spin-off, abandon, waive, relinquish or permit to lapse (other than any patent expiring at the end of its statutory term), transfer, assign, guarantee, mortgage or otherwise subject to any encumbrance (other than specified permitted encumbrances), or grant any royalty, milestone or similar payments with respect to, any material right or other material asset or property of Pacira and its subsidiaries, other than dispositions in the ordinary course of business consistent with past practice of obsolete, surplus or worn out assets that are no longer useful in the conduct of the business of Pacira and its subsidiaries;</w:t>
      </w:r>
    </w:p>
    <w:p>
      <w:pPr>
        <w:spacing w:after="0" w:line="80" w:lineRule="exact"/>
        <w:rPr>
          <w:rFonts w:ascii="Times New Roman" w:cs="Times New Roman" w:eastAsia="Times New Roman" w:hAnsi="Times New Roman"/>
          <w:sz w:val="18"/>
          <w:szCs w:val="18"/>
          <w:color w:val="auto"/>
        </w:rPr>
      </w:pPr>
    </w:p>
    <w:p>
      <w:pPr>
        <w:ind w:left="1000" w:right="659" w:hanging="348"/>
        <w:spacing w:after="0" w:line="312" w:lineRule="auto"/>
        <w:tabs>
          <w:tab w:leader="none" w:pos="100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lend money or make capital contributions or advances to or make investments in, any person, or incur, guarantee or otherwise become liable or responsible for any indebtedness, except for (A) short-term</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1" w:name="page42"/>
    <w:bookmarkEnd w:id="4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20" w:right="359"/>
        <w:spacing w:after="0" w:line="258" w:lineRule="auto"/>
        <w:rPr>
          <w:sz w:val="20"/>
          <w:szCs w:val="20"/>
          <w:color w:val="auto"/>
        </w:rPr>
      </w:pPr>
      <w:r>
        <w:rPr>
          <w:rFonts w:ascii="Times New Roman" w:cs="Times New Roman" w:eastAsia="Times New Roman" w:hAnsi="Times New Roman"/>
          <w:sz w:val="18"/>
          <w:szCs w:val="18"/>
          <w:color w:val="auto"/>
        </w:rPr>
        <w:t>borrowings, of not more than $500,000 in the aggregate, incurred in the ordinary course of business consistent with past practice, (B) advances to employees and consultants for travel and other business related expenses in the ordinary course of business consistent with past practice, (C) intercompany loans and capital contributions among Pacira and its subsidiaries, or (D) sales commission advances made in the ordinary course of business consistent with past practice;</w:t>
      </w:r>
    </w:p>
    <w:p>
      <w:pPr>
        <w:spacing w:after="0" w:line="75" w:lineRule="exact"/>
        <w:rPr>
          <w:sz w:val="20"/>
          <w:szCs w:val="20"/>
          <w:color w:val="auto"/>
        </w:rPr>
      </w:pPr>
    </w:p>
    <w:p>
      <w:pPr>
        <w:ind w:left="1000" w:right="419" w:hanging="348"/>
        <w:spacing w:after="0" w:line="255" w:lineRule="auto"/>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change or revoke any material tax election (other than in the ordinary course of business), adopt or change any material method of tax accounting or change any tax accounting period, file any material amended tax return, enter into any “closing agreement” within the meaning of Section 7121 of the Code (or any corresponding or similar provision of any state, local or non-U.S. tax law) with respect to any material tax, consent to the extension or waiver of the statutory period of limitations applicable to any tax claim or assessment (other than in connection with automatic extensions of the due date for filing a tax return), surrender a right to a material tax refund or settle or compromise any material tax liability;</w:t>
      </w:r>
    </w:p>
    <w:p>
      <w:pPr>
        <w:spacing w:after="0" w:line="80" w:lineRule="exact"/>
        <w:rPr>
          <w:rFonts w:ascii="Times New Roman" w:cs="Times New Roman" w:eastAsia="Times New Roman" w:hAnsi="Times New Roman"/>
          <w:sz w:val="18"/>
          <w:szCs w:val="18"/>
          <w:color w:val="auto"/>
        </w:rPr>
      </w:pPr>
    </w:p>
    <w:p>
      <w:pPr>
        <w:ind w:left="1000" w:right="359" w:hanging="348"/>
        <w:spacing w:after="0" w:line="255" w:lineRule="auto"/>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 release, waive or compromise any legal proceeding, other than settlements, releases, waivers or compromises of (i) any legal proceeding relating to a breach of the Merger Agreement or (ii) any legal proceeding (A) that results solely in an obligation involving only the payment of monies by Pacira and its subsidiaries of not more than $500,000 individually or $2,000,000 in the aggregate and does not impose any injunctive or other non-monetary relief on Pacira or any of its subsidiaries, (B) does not involve the admission of wrongdoing by Pacira or any of its subsidiaries or any of their respective officers or directors and (C) does not provide for the exclusive license of any material Pacira intellectual property;</w:t>
      </w:r>
    </w:p>
    <w:p>
      <w:pPr>
        <w:spacing w:after="0" w:line="80" w:lineRule="exact"/>
        <w:rPr>
          <w:rFonts w:ascii="Times New Roman" w:cs="Times New Roman" w:eastAsia="Times New Roman" w:hAnsi="Times New Roman"/>
          <w:sz w:val="18"/>
          <w:szCs w:val="18"/>
          <w:color w:val="auto"/>
        </w:rPr>
      </w:pPr>
    </w:p>
    <w:p>
      <w:pPr>
        <w:ind w:left="1000" w:right="479" w:hanging="348"/>
        <w:spacing w:after="0" w:line="282" w:lineRule="auto"/>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collective bargaining agreement or other agreement with any labor organization (except to the extent required by applicable law);</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or implement any stockholder rights plan or similar arrangement;</w:t>
      </w:r>
    </w:p>
    <w:p>
      <w:pPr>
        <w:spacing w:after="0" w:line="117" w:lineRule="exact"/>
        <w:rPr>
          <w:rFonts w:ascii="Times New Roman" w:cs="Times New Roman" w:eastAsia="Times New Roman" w:hAnsi="Times New Roman"/>
          <w:sz w:val="18"/>
          <w:szCs w:val="18"/>
          <w:color w:val="auto"/>
        </w:rPr>
      </w:pPr>
    </w:p>
    <w:p>
      <w:pPr>
        <w:ind w:left="1000" w:right="999" w:hanging="348"/>
        <w:spacing w:after="0" w:line="282" w:lineRule="auto"/>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a plan or agreement of complete or partial liquidation or dissolution, merger, consolidation, restructuring, recapitalization or other reorganization;</w:t>
      </w:r>
    </w:p>
    <w:p>
      <w:pPr>
        <w:spacing w:after="0" w:line="53" w:lineRule="exact"/>
        <w:rPr>
          <w:rFonts w:ascii="Times New Roman" w:cs="Times New Roman" w:eastAsia="Times New Roman" w:hAnsi="Times New Roman"/>
          <w:sz w:val="18"/>
          <w:szCs w:val="18"/>
          <w:color w:val="auto"/>
        </w:rPr>
      </w:pPr>
    </w:p>
    <w:p>
      <w:pPr>
        <w:ind w:left="1000" w:right="539" w:hanging="348"/>
        <w:spacing w:after="0" w:line="266" w:lineRule="auto"/>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material change in financial accounting policies, practices, principles, methods or procedures, other than as required by GAAP or Regulation S-X promulgated under the Exchange Act or other applicable rules and regulations of the SEC or applicable law;</w:t>
      </w:r>
    </w:p>
    <w:p>
      <w:pPr>
        <w:spacing w:after="0" w:line="67" w:lineRule="exact"/>
        <w:rPr>
          <w:rFonts w:ascii="Times New Roman" w:cs="Times New Roman" w:eastAsia="Times New Roman" w:hAnsi="Times New Roman"/>
          <w:sz w:val="18"/>
          <w:szCs w:val="18"/>
          <w:color w:val="auto"/>
        </w:rPr>
      </w:pPr>
    </w:p>
    <w:p>
      <w:pPr>
        <w:ind w:left="1000" w:right="599" w:hanging="348"/>
        <w:spacing w:after="0" w:line="282" w:lineRule="auto"/>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new line of business outside of Pacira’s and its subsidiaries’ existing businesses as of the date of the Merger Agreement, or materially change Pacira’s operating policies;</w:t>
      </w:r>
    </w:p>
    <w:p>
      <w:pPr>
        <w:spacing w:after="0" w:line="53" w:lineRule="exact"/>
        <w:rPr>
          <w:rFonts w:ascii="Times New Roman" w:cs="Times New Roman" w:eastAsia="Times New Roman" w:hAnsi="Times New Roman"/>
          <w:sz w:val="18"/>
          <w:szCs w:val="18"/>
          <w:color w:val="auto"/>
        </w:rPr>
      </w:pPr>
    </w:p>
    <w:p>
      <w:pPr>
        <w:ind w:left="1000" w:right="359" w:hanging="348"/>
        <w:spacing w:after="0" w:line="282" w:lineRule="auto"/>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in any material respect to maintain Pacira’s and its subsidiaries’ existing material insurance policies or comparable replacement policies;</w:t>
      </w:r>
    </w:p>
    <w:p>
      <w:pPr>
        <w:spacing w:after="0" w:line="53" w:lineRule="exact"/>
        <w:rPr>
          <w:rFonts w:ascii="Times New Roman" w:cs="Times New Roman" w:eastAsia="Times New Roman" w:hAnsi="Times New Roman"/>
          <w:sz w:val="18"/>
          <w:szCs w:val="18"/>
          <w:color w:val="auto"/>
        </w:rPr>
      </w:pPr>
    </w:p>
    <w:p>
      <w:pPr>
        <w:ind w:left="1000" w:right="339" w:hanging="348"/>
        <w:spacing w:after="0" w:line="266" w:lineRule="auto"/>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allow to lapse or expire, suspend, modify or otherwise take any step to limit the effectiveness or validity of, or fail to maintain as valid and in full force and effect, any material governmental authorization;</w:t>
      </w:r>
    </w:p>
    <w:p>
      <w:pPr>
        <w:spacing w:after="0" w:line="67" w:lineRule="exact"/>
        <w:rPr>
          <w:rFonts w:ascii="Times New Roman" w:cs="Times New Roman" w:eastAsia="Times New Roman" w:hAnsi="Times New Roman"/>
          <w:sz w:val="18"/>
          <w:szCs w:val="18"/>
          <w:color w:val="auto"/>
        </w:rPr>
      </w:pPr>
    </w:p>
    <w:p>
      <w:pPr>
        <w:ind w:left="1000" w:right="799" w:hanging="348"/>
        <w:spacing w:after="0" w:line="266" w:lineRule="auto"/>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as expressly required by Pacira’s certificate of incorporation and bylaws and other organizational documents or by applicable law, convene any special meeting (or any adjournment or postponement thereof) of Pacira’s stockholders;</w:t>
      </w:r>
    </w:p>
    <w:p>
      <w:pPr>
        <w:spacing w:after="0" w:line="67" w:lineRule="exact"/>
        <w:rPr>
          <w:rFonts w:ascii="Times New Roman" w:cs="Times New Roman" w:eastAsia="Times New Roman" w:hAnsi="Times New Roman"/>
          <w:sz w:val="18"/>
          <w:szCs w:val="18"/>
          <w:color w:val="auto"/>
        </w:rPr>
      </w:pPr>
    </w:p>
    <w:p>
      <w:pPr>
        <w:ind w:left="1000" w:right="359" w:hanging="348"/>
        <w:spacing w:after="0" w:line="312" w:lineRule="auto"/>
        <w:tabs>
          <w:tab w:leader="none" w:pos="100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enter into financial swaps, futures or options involving an interest rate, foreign exchange or commodity, or issue or sell any debt securities or any rights to acquire debt securities of Pacira or any of its subsidiaries;</w:t>
      </w:r>
    </w:p>
    <w:p>
      <w:pPr>
        <w:spacing w:after="0" w:line="31" w:lineRule="exact"/>
        <w:rPr>
          <w:rFonts w:ascii="Times New Roman" w:cs="Times New Roman" w:eastAsia="Times New Roman" w:hAnsi="Times New Roman"/>
          <w:sz w:val="17"/>
          <w:szCs w:val="17"/>
          <w:color w:val="auto"/>
        </w:rPr>
      </w:pPr>
    </w:p>
    <w:p>
      <w:pPr>
        <w:ind w:left="1000" w:right="439" w:hanging="348"/>
        <w:spacing w:after="0" w:line="266" w:lineRule="auto"/>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amend or modify in any material respect, waive any rights under, terminate, replace or release, allow to expire, fail to renew, settle or compromise any material claim, liability or obligation under, any material contract outside of the ordinary course of business consistent with past practice;</w:t>
      </w:r>
    </w:p>
    <w:p>
      <w:pPr>
        <w:spacing w:after="0" w:line="67" w:lineRule="exact"/>
        <w:rPr>
          <w:rFonts w:ascii="Times New Roman" w:cs="Times New Roman" w:eastAsia="Times New Roman" w:hAnsi="Times New Roman"/>
          <w:sz w:val="18"/>
          <w:szCs w:val="18"/>
          <w:color w:val="auto"/>
        </w:rPr>
      </w:pPr>
    </w:p>
    <w:p>
      <w:pPr>
        <w:ind w:left="1000" w:right="319" w:hanging="348"/>
        <w:spacing w:after="0" w:line="258" w:lineRule="auto"/>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material change in or to the regular price, credit or distribution policies of any Company Product outside of the ordinary course of business consistent with past practice, or engage in any other activity or practice not consistent with past practice, that would reasonably be considered “channel stuffing”, “trade loading” or that reasonably would be expected to result in an increase, temporary or otherwise, in the demand for inventories of any Company Product but not the use of such inventory;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2" w:name="page43"/>
    <w:bookmarkEnd w:id="4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859" w:hanging="348"/>
        <w:spacing w:after="0" w:line="282" w:lineRule="auto"/>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to any person any exclusive right to distribute or commercialize any Company Product in any geographic area or territory;</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sublease or license any portion of any leased real property or assign any interest therein;</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new contract related to, or otherwise commit to undertake, any clinical trials;</w:t>
      </w:r>
    </w:p>
    <w:p>
      <w:pPr>
        <w:spacing w:after="0" w:line="117" w:lineRule="exact"/>
        <w:rPr>
          <w:rFonts w:ascii="Times New Roman" w:cs="Times New Roman" w:eastAsia="Times New Roman" w:hAnsi="Times New Roman"/>
          <w:sz w:val="18"/>
          <w:szCs w:val="18"/>
          <w:color w:val="auto"/>
        </w:rPr>
      </w:pPr>
    </w:p>
    <w:p>
      <w:pPr>
        <w:ind w:left="1000" w:right="399" w:hanging="348"/>
        <w:spacing w:after="0" w:line="261" w:lineRule="auto"/>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commence or effect any (i) transfer of manufacturing, production, packaging, labeling, testing or other material operations with respect to any Company Product to any other facility or site (or termination of any such activities at any existing facility or site) or (ii) transfer, conversion, migration or replacement of Pacira’s or any of its subsidiaries’ enterprise resource planning systems;</w:t>
      </w:r>
    </w:p>
    <w:p>
      <w:pPr>
        <w:spacing w:after="0" w:line="71"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to any person any material refund, credit, discount, rebate or allowance with respect to any Company Product outside of the ordinary course of business consistent with past practice; or</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any of, or agree or commit to take, any of the foregoing actions.</w:t>
      </w:r>
    </w:p>
    <w:p>
      <w:pPr>
        <w:spacing w:after="0" w:line="115" w:lineRule="exact"/>
        <w:rPr>
          <w:sz w:val="20"/>
          <w:szCs w:val="20"/>
          <w:color w:val="auto"/>
        </w:rPr>
      </w:pPr>
    </w:p>
    <w:p>
      <w:pPr>
        <w:ind w:left="300" w:right="35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No Solicitation</w:t>
      </w:r>
      <w:r>
        <w:rPr>
          <w:rFonts w:ascii="Times New Roman" w:cs="Times New Roman" w:eastAsia="Times New Roman" w:hAnsi="Times New Roman"/>
          <w:sz w:val="18"/>
          <w:szCs w:val="18"/>
          <w:color w:val="auto"/>
        </w:rPr>
        <w:t>. Pacira has agreed that it will, and will cause its subsidiaries and its and their representatives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immediately cease and cause to be terminated any solicitation and any and all existing discussions, negotiations or communications with any person (other than Viatris and its affiliates and its and their representatives) that may have been ongoing with respect to, or which would reasonably be expected to lead to, any Acquisition Proposal (as defined below), and terminate access by any person (other than Viatris, Purchaser, Pacira or any of their respective affiliates or representatives) to any physical or electronic data room relating to any potential Acquisition Proposal.</w:t>
      </w:r>
    </w:p>
    <w:p>
      <w:pPr>
        <w:spacing w:after="0" w:line="76" w:lineRule="exact"/>
        <w:rPr>
          <w:sz w:val="20"/>
          <w:szCs w:val="20"/>
          <w:color w:val="auto"/>
        </w:rPr>
      </w:pPr>
    </w:p>
    <w:p>
      <w:pPr>
        <w:ind w:left="300" w:right="619" w:firstLine="360"/>
        <w:spacing w:after="0" w:line="282" w:lineRule="auto"/>
        <w:rPr>
          <w:sz w:val="20"/>
          <w:szCs w:val="20"/>
          <w:color w:val="auto"/>
        </w:rPr>
      </w:pPr>
      <w:r>
        <w:rPr>
          <w:rFonts w:ascii="Times New Roman" w:cs="Times New Roman" w:eastAsia="Times New Roman" w:hAnsi="Times New Roman"/>
          <w:sz w:val="18"/>
          <w:szCs w:val="18"/>
          <w:color w:val="auto"/>
        </w:rPr>
        <w:t>Except as otherwise described below, Pacira also agreed that, during the Pre-Closing Period, it will not, and will cause its subsidiaries and its and their respective representatives not to, directly or indirectly:</w:t>
      </w:r>
    </w:p>
    <w:p>
      <w:pPr>
        <w:spacing w:after="0" w:line="54" w:lineRule="exact"/>
        <w:rPr>
          <w:sz w:val="20"/>
          <w:szCs w:val="20"/>
          <w:color w:val="auto"/>
        </w:rPr>
      </w:pPr>
    </w:p>
    <w:p>
      <w:pPr>
        <w:ind w:left="1000" w:right="639" w:hanging="348"/>
        <w:spacing w:after="0" w:line="266" w:lineRule="auto"/>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 initiate, seek or knowingly facilitate, assist or encourage (including by way of furnishing non-public information) the making of an Acquisition Proposal or any inquiry, proposal or offer that would reasonably be expected to lead to an Acquisition Proposal;</w:t>
      </w:r>
    </w:p>
    <w:p>
      <w:pPr>
        <w:spacing w:after="0" w:line="67" w:lineRule="exact"/>
        <w:rPr>
          <w:rFonts w:ascii="Times New Roman" w:cs="Times New Roman" w:eastAsia="Times New Roman" w:hAnsi="Times New Roman"/>
          <w:sz w:val="18"/>
          <w:szCs w:val="18"/>
          <w:color w:val="auto"/>
        </w:rPr>
      </w:pPr>
    </w:p>
    <w:p>
      <w:pPr>
        <w:ind w:left="1000" w:right="399" w:hanging="348"/>
        <w:spacing w:after="0" w:line="254" w:lineRule="auto"/>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or otherwise participate in any discussions (except to notify a person that makes any inquiry, proposal or offer with respect to an Acquisition Proposal of the existence of the no solicitation provisions of the Merger Agreement) or negotiations regarding, or furnish to any other person (other than Viatris and its affiliates and its and their representatives) any non-public information relating to, or provide access to the business, properties, assets, books, records or personnel of, Pacira or any of its subsidiaries, in any such case in connection with or for the purpose of soliciting, initiating, seeking, knowingly facilitating, assisting or encouraging, an Acquisition Proposal, or any inquiry, proposal or offer that would reasonably be expected to lead to an Acquisition Proposal;</w:t>
      </w:r>
    </w:p>
    <w:p>
      <w:pPr>
        <w:spacing w:after="0" w:line="83" w:lineRule="exact"/>
        <w:rPr>
          <w:rFonts w:ascii="Times New Roman" w:cs="Times New Roman" w:eastAsia="Times New Roman" w:hAnsi="Times New Roman"/>
          <w:sz w:val="18"/>
          <w:szCs w:val="18"/>
          <w:color w:val="auto"/>
        </w:rPr>
      </w:pPr>
    </w:p>
    <w:p>
      <w:pPr>
        <w:ind w:left="1000" w:right="659" w:hanging="348"/>
        <w:spacing w:after="0" w:line="282" w:lineRule="auto"/>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approve or enter into any letter of intent, acquisition agreement, agreement in principle or other contract with respect to an Acquisition Proposal;</w:t>
      </w:r>
    </w:p>
    <w:p>
      <w:pPr>
        <w:spacing w:after="0" w:line="53" w:lineRule="exact"/>
        <w:rPr>
          <w:rFonts w:ascii="Times New Roman" w:cs="Times New Roman" w:eastAsia="Times New Roman" w:hAnsi="Times New Roman"/>
          <w:sz w:val="18"/>
          <w:szCs w:val="18"/>
          <w:color w:val="auto"/>
        </w:rPr>
      </w:pPr>
    </w:p>
    <w:p>
      <w:pPr>
        <w:ind w:left="1000" w:right="359" w:hanging="348"/>
        <w:spacing w:after="0" w:line="255" w:lineRule="auto"/>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or release any person from, or fail to use reasonable best efforts to enforce, any standstill agreement or any standstill provisions of any contract entered into in respect of an Acquisition Proposal or any inquiry, proposal or offer that would reasonably be expected to lead to an Acquisition Proposal, unless Pacira determines in good faith, after consultation with Pacira’s financial advisors and outside legal counsel, that the failure to do so would reasonably be likely to be inconsistent with the fiduciary duties of the Pacira Board under applicable law, provided that Pacira promptly (and in any event within twenty-four (24) hours) notifies Viatris in writing of any such waiver or release; or</w:t>
      </w:r>
    </w:p>
    <w:p>
      <w:pPr>
        <w:spacing w:after="0" w:line="80"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resolve or agree to do any of the foregoing.</w:t>
      </w:r>
    </w:p>
    <w:p>
      <w:pPr>
        <w:spacing w:after="0" w:line="117" w:lineRule="exact"/>
        <w:rPr>
          <w:sz w:val="20"/>
          <w:szCs w:val="20"/>
          <w:color w:val="auto"/>
        </w:rPr>
      </w:pPr>
    </w:p>
    <w:p>
      <w:pPr>
        <w:jc w:val="both"/>
        <w:ind w:left="300" w:right="339" w:firstLine="360"/>
        <w:spacing w:after="0" w:line="261" w:lineRule="auto"/>
        <w:rPr>
          <w:sz w:val="20"/>
          <w:szCs w:val="20"/>
          <w:color w:val="auto"/>
        </w:rPr>
      </w:pPr>
      <w:r>
        <w:rPr>
          <w:rFonts w:ascii="Times New Roman" w:cs="Times New Roman" w:eastAsia="Times New Roman" w:hAnsi="Times New Roman"/>
          <w:sz w:val="18"/>
          <w:szCs w:val="18"/>
          <w:color w:val="auto"/>
        </w:rPr>
        <w:t>Pacira also agreed, promptly following the execution and delivery of the Merger Agreement (and in any event within 24 hours thereafter), to, and to cause its subsidiaries and its and their respective representatives to, request in writing the return or destruction of all confidential information previously furnished or made available to any person (other than Viatris and its affiliates and its and their representatives).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3" w:name="page44"/>
    <w:bookmarkEnd w:id="4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99" w:firstLine="360"/>
        <w:spacing w:after="0" w:line="266" w:lineRule="auto"/>
        <w:rPr>
          <w:sz w:val="20"/>
          <w:szCs w:val="20"/>
          <w:color w:val="auto"/>
        </w:rPr>
      </w:pPr>
      <w:r>
        <w:rPr>
          <w:rFonts w:ascii="Times New Roman" w:cs="Times New Roman" w:eastAsia="Times New Roman" w:hAnsi="Times New Roman"/>
          <w:sz w:val="18"/>
          <w:szCs w:val="18"/>
          <w:color w:val="auto"/>
        </w:rPr>
        <w:t>For purposes of the Merger Agreement, the term “Acquisition Proposal” means any inquiry, proposal or offer from any person (other than Viatris and its affiliates) or “group” (within the meaning of Section 13(d) of the Exchange Act) relating to, in a single transaction or series of related transactions, any of the following:</w:t>
      </w:r>
    </w:p>
    <w:p>
      <w:pPr>
        <w:spacing w:after="0" w:line="68" w:lineRule="exact"/>
        <w:rPr>
          <w:sz w:val="20"/>
          <w:szCs w:val="20"/>
          <w:color w:val="auto"/>
        </w:rPr>
      </w:pPr>
    </w:p>
    <w:p>
      <w:pPr>
        <w:ind w:left="1000" w:right="419" w:hanging="348"/>
        <w:spacing w:after="0" w:line="261" w:lineRule="auto"/>
        <w:tabs>
          <w:tab w:leader="none" w:pos="10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acquisition of assets of Pacira or any of its subsidiaries equal to 20% or more of the consolidated assets of Pacira and its subsidiaries (based on fair market value) or to which 20% or more of the revenues or earnings of Pacira and its subsidiaries on a consolidated basis are attributable, or any license, collaboration, lease or other arrangement having a similar effect;</w:t>
      </w:r>
    </w:p>
    <w:p>
      <w:pPr>
        <w:spacing w:after="0" w:line="71" w:lineRule="exact"/>
        <w:rPr>
          <w:rFonts w:ascii="Times New Roman" w:cs="Times New Roman" w:eastAsia="Times New Roman" w:hAnsi="Times New Roman"/>
          <w:sz w:val="18"/>
          <w:szCs w:val="18"/>
          <w:color w:val="auto"/>
        </w:rPr>
      </w:pPr>
    </w:p>
    <w:p>
      <w:pPr>
        <w:ind w:left="1000" w:right="499" w:hanging="348"/>
        <w:spacing w:after="0" w:line="282" w:lineRule="auto"/>
        <w:tabs>
          <w:tab w:leader="none" w:pos="10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issuance or acquisition of 20% or more of the outstanding Shares or other equity securities or voting power of Pacira;</w:t>
      </w:r>
    </w:p>
    <w:p>
      <w:pPr>
        <w:spacing w:after="0" w:line="53" w:lineRule="exact"/>
        <w:rPr>
          <w:rFonts w:ascii="Times New Roman" w:cs="Times New Roman" w:eastAsia="Times New Roman" w:hAnsi="Times New Roman"/>
          <w:sz w:val="18"/>
          <w:szCs w:val="18"/>
          <w:color w:val="auto"/>
        </w:rPr>
      </w:pPr>
    </w:p>
    <w:p>
      <w:pPr>
        <w:jc w:val="both"/>
        <w:ind w:left="1000" w:right="699" w:hanging="348"/>
        <w:spacing w:after="0" w:line="266" w:lineRule="auto"/>
        <w:tabs>
          <w:tab w:leader="none" w:pos="10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recapitalization, tender offer or exchange offer that if consummated would result in any person or group beneficially owning 20% or more of the outstanding Shares or other equity securities or voting power of Pacira;</w:t>
      </w:r>
    </w:p>
    <w:p>
      <w:pPr>
        <w:spacing w:after="0" w:line="67" w:lineRule="exact"/>
        <w:rPr>
          <w:rFonts w:ascii="Times New Roman" w:cs="Times New Roman" w:eastAsia="Times New Roman" w:hAnsi="Times New Roman"/>
          <w:sz w:val="18"/>
          <w:szCs w:val="18"/>
          <w:color w:val="auto"/>
        </w:rPr>
      </w:pPr>
    </w:p>
    <w:p>
      <w:pPr>
        <w:ind w:left="1000" w:right="319" w:hanging="348"/>
        <w:spacing w:after="0" w:line="261" w:lineRule="auto"/>
        <w:tabs>
          <w:tab w:leader="none" w:pos="10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consolidation, amalgamation, share exchange, business combination, recapitalization, liquidation, dissolution or other similar transaction involving Pacira or its subsidiaries that if consummated would result in any person or group beneficially owning 20% or more of the outstanding Shares or other equity securities or voting power of Pacira; or</w:t>
      </w:r>
    </w:p>
    <w:p>
      <w:pPr>
        <w:spacing w:after="0" w:line="71" w:lineRule="exact"/>
        <w:rPr>
          <w:rFonts w:ascii="Times New Roman" w:cs="Times New Roman" w:eastAsia="Times New Roman" w:hAnsi="Times New Roman"/>
          <w:sz w:val="18"/>
          <w:szCs w:val="18"/>
          <w:color w:val="auto"/>
        </w:rPr>
      </w:pPr>
    </w:p>
    <w:p>
      <w:pPr>
        <w:ind w:left="1000" w:right="319" w:hanging="348"/>
        <w:spacing w:after="0" w:line="253" w:lineRule="auto"/>
        <w:tabs>
          <w:tab w:leader="none" w:pos="10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consolidation, amalgamation, share exchange, business combination, recapitalization, reorganization or other similar transaction involving Pacira or its subsidiaries that if consummated would result in (i) any person or group (excluding pre-transaction stockholders of Pacira to the extent they hold equity securities or voting power of the surviving or resulting entity in substantially the same proportions as their ownership of Pacira immediately prior to such transaction) holding, directly or indirectly, 20% or more of the equity securities or voting power of the surviving or resulting entity, or (ii) pre-transaction stockholders of Pacira (as a group), to the extent they hold equity securities or voting power of the surviving or resulting entity in substantially the same proportions as their ownership of Pacira immediately prior to such transaction, holding, directly or indirectly, less than 80% of the equity securities or voting power of the surviving or resulting entity.</w:t>
      </w:r>
    </w:p>
    <w:p>
      <w:pPr>
        <w:spacing w:after="0" w:line="86" w:lineRule="exact"/>
        <w:rPr>
          <w:sz w:val="20"/>
          <w:szCs w:val="20"/>
          <w:color w:val="auto"/>
        </w:rPr>
      </w:pPr>
    </w:p>
    <w:p>
      <w:pPr>
        <w:ind w:left="300" w:right="399" w:firstLine="360"/>
        <w:spacing w:after="0" w:line="282" w:lineRule="auto"/>
        <w:rPr>
          <w:sz w:val="20"/>
          <w:szCs w:val="20"/>
          <w:color w:val="auto"/>
        </w:rPr>
      </w:pPr>
      <w:r>
        <w:rPr>
          <w:rFonts w:ascii="Times New Roman" w:cs="Times New Roman" w:eastAsia="Times New Roman" w:hAnsi="Times New Roman"/>
          <w:sz w:val="18"/>
          <w:szCs w:val="18"/>
          <w:color w:val="auto"/>
        </w:rPr>
        <w:t>Notwithstanding the foregoing, the transactions contemplated by the Merger Agreement are excluded from the definition of “Acquisition Proposal.”</w:t>
      </w:r>
    </w:p>
    <w:p>
      <w:pPr>
        <w:spacing w:after="0" w:line="52" w:lineRule="exact"/>
        <w:rPr>
          <w:sz w:val="20"/>
          <w:szCs w:val="20"/>
          <w:color w:val="auto"/>
        </w:rPr>
      </w:pPr>
    </w:p>
    <w:p>
      <w:pPr>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For purposes of the Merger Agreement, the term “Superior Offer” means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written Acquisition Proposal that did not result from a breach of the non-solicitation restrictions described above, on terms that the Pacira Board (or an authorized committee thereof) has determined in good faith, after consultation with Pacira’s financial advisor and outside legal counsel, is reasonably likely to be consummated in accordance with its terms and would be more favorable, from a financial point of view, to Pacira’s stockholders (in their capacity as such) than the transactions contemplated by the Merger Agreement (taking into account any legal, timing, financing (including the existence and reliability of any debt or equity financing commitments and the likelihood of such financing being obtained and funded on the terms proposed) and other aspects of such Acquisition Proposal (including the identity of the person making such Acquisition Proposal) and the Merger Agreement (including any revisions to the terms of the Merger Agreement made or proposed in writing by Viatris prior to the time of such determination)). However, for purposes of the definition of “Superior Offer”, the references to “20%” and “80%” in the definition of Acquisition Proposal are deemed to be references to “50%.”</w:t>
      </w:r>
    </w:p>
    <w:p>
      <w:pPr>
        <w:spacing w:after="0" w:line="84" w:lineRule="exact"/>
        <w:rPr>
          <w:sz w:val="20"/>
          <w:szCs w:val="20"/>
          <w:color w:val="auto"/>
        </w:rPr>
      </w:pPr>
    </w:p>
    <w:p>
      <w:pPr>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Notwithstanding the non-solicitation restrictions described above, if at any time on or after the date of the Merger Agreement and prior to the Offer Acceptance Time, Pacira or any of its representatives receives an unsolicited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written Acquisition Proposal from any person or group of persons, which Acquisition Proposal was made on or after the date of the Merger Agreement and did not result from or arise out of any breach of the non-solicitation restrictions described above, if the Pacira Board determines in good faith, after consultation with Pacira’s financial advisors and outside legal counsel, that (i) such Acquisition Proposal constitutes or would reasonably be expected to lead to a Superior Offer (and Pacira provides Viatris with written notice of this determination) and (ii) the failure to take the actions referred to in clause (A) or (B) below would reasonably be expected to be inconsistent with the fiduciary duties of the Pacira Board under applicable law, then Pacira and its representatives may (A) furnish, pursuant to (but only pursuant to) an Acceptable Confidentiality Agreement (as defined below), information (including non-public information) with respect to Pacira to the person or group of</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4" w:name="page45"/>
    <w:bookmarkEnd w:id="4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99"/>
        <w:spacing w:after="0" w:line="261" w:lineRule="auto"/>
        <w:rPr>
          <w:sz w:val="20"/>
          <w:szCs w:val="20"/>
          <w:color w:val="auto"/>
        </w:rPr>
      </w:pPr>
      <w:r>
        <w:rPr>
          <w:rFonts w:ascii="Times New Roman" w:cs="Times New Roman" w:eastAsia="Times New Roman" w:hAnsi="Times New Roman"/>
          <w:sz w:val="18"/>
          <w:szCs w:val="18"/>
          <w:color w:val="auto"/>
        </w:rPr>
        <w:t>persons who has made such Acquisition Proposal (provided that Pacira must substantially concurrently provide or make available to Viatris any information concerning Pacira that is provided to any person given such access which was not previously provided to Viatris or its representatives) and (B) engage in or otherwise participate in discussions or negotiations with the person or group of persons making such Acquisition Proposal.</w:t>
      </w:r>
    </w:p>
    <w:p>
      <w:pPr>
        <w:spacing w:after="0" w:line="72" w:lineRule="exact"/>
        <w:rPr>
          <w:sz w:val="20"/>
          <w:szCs w:val="20"/>
          <w:color w:val="auto"/>
        </w:rPr>
      </w:pPr>
    </w:p>
    <w:p>
      <w:pPr>
        <w:ind w:left="300" w:right="339" w:firstLine="360"/>
        <w:spacing w:after="0" w:line="273" w:lineRule="auto"/>
        <w:rPr>
          <w:sz w:val="20"/>
          <w:szCs w:val="20"/>
          <w:color w:val="auto"/>
        </w:rPr>
      </w:pPr>
      <w:r>
        <w:rPr>
          <w:rFonts w:ascii="Times New Roman" w:cs="Times New Roman" w:eastAsia="Times New Roman" w:hAnsi="Times New Roman"/>
          <w:sz w:val="17"/>
          <w:szCs w:val="17"/>
          <w:color w:val="auto"/>
        </w:rPr>
        <w:t>For purposes of the Merger Agreement, “Acceptable Confidentiality Agreement” means any confidentiality agreement with Pacira containing provisions that require any counterparty thereto (and any of its affiliates and representatives) that receives non-public information of, or with respect to, Pacira to keep such information confidential, provided that (a) the provisions contained therein are no less favorable in the aggregate to Pacira than the terms of the Confidentiality Agreement (as defined below) (it being agreed that such agreement need not contain any “standstill” or similar provisions that prohibit the making of any Acquisition Proposal) and (b) such agreement does not contain any provision that prohibits Pacira from satisfying its obligations under the Merger Agreement.</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addition, following the date of the Merger Agreement, Pacira must:</w:t>
      </w:r>
    </w:p>
    <w:p>
      <w:pPr>
        <w:spacing w:after="0" w:line="117" w:lineRule="exact"/>
        <w:rPr>
          <w:sz w:val="20"/>
          <w:szCs w:val="20"/>
          <w:color w:val="auto"/>
        </w:rPr>
      </w:pPr>
    </w:p>
    <w:p>
      <w:pPr>
        <w:ind w:left="1000" w:right="319" w:hanging="348"/>
        <w:spacing w:after="0" w:line="256" w:lineRule="auto"/>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(and in any event within 24 hours after receipt thereof) notify Viatris of any inquiry, proposal or offer with respect to, or that would reasonably be expected to lead to, an Acquisition Proposal, or any request for information concerning Pacira from any person or group who have made, or would reasonably be expected to make, an Acquisition Proposal, in each case, which are received by Pacira or any of its representatives, including the identity of the person or group of persons making such Acquisition Proposal, request, inquiry, proposal or offer;</w:t>
      </w:r>
    </w:p>
    <w:p>
      <w:pPr>
        <w:spacing w:after="0" w:line="79" w:lineRule="exact"/>
        <w:rPr>
          <w:rFonts w:ascii="Times New Roman" w:cs="Times New Roman" w:eastAsia="Times New Roman" w:hAnsi="Times New Roman"/>
          <w:sz w:val="18"/>
          <w:szCs w:val="18"/>
          <w:color w:val="auto"/>
        </w:rPr>
      </w:pPr>
    </w:p>
    <w:p>
      <w:pPr>
        <w:ind w:left="1000" w:right="459" w:hanging="348"/>
        <w:spacing w:after="0" w:line="258" w:lineRule="auto"/>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to Viatris a summary of the available material terms and conditions and, solely to the extent actually in the possession or control of Pacira or its representatives, copies of any such Acquisition Proposal or any such inquiry, proposal or offer, including complete copies of any written agreements and financing documentation relating thereto (and any other documentation or written or electronic materials submitted, received, shared or otherwise exchanged in respect thereof);</w:t>
      </w:r>
    </w:p>
    <w:p>
      <w:pPr>
        <w:spacing w:after="0" w:line="75"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keep Viatris reasonably informed of any material developments, discussions or negotiations (including any amendments or proposed amendments to any material terms or conditions) regarding any such Acquisition Proposal or any such inquiry, proposal or offer on a prompt and timely basis; and</w:t>
      </w:r>
    </w:p>
    <w:p>
      <w:pPr>
        <w:spacing w:after="0" w:line="67" w:lineRule="exact"/>
        <w:rPr>
          <w:rFonts w:ascii="Times New Roman" w:cs="Times New Roman" w:eastAsia="Times New Roman" w:hAnsi="Times New Roman"/>
          <w:sz w:val="18"/>
          <w:szCs w:val="18"/>
          <w:color w:val="auto"/>
        </w:rPr>
      </w:pPr>
    </w:p>
    <w:p>
      <w:pPr>
        <w:jc w:val="both"/>
        <w:ind w:left="1000" w:right="539" w:hanging="348"/>
        <w:spacing w:after="0" w:line="266" w:lineRule="auto"/>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written request of Viatris, reasonably inform Viatris of the status and material terms (including any price or similar economic terms) of any such Acquisition Proposal or any such inquiry, proposal or offer.</w:t>
      </w:r>
    </w:p>
    <w:p>
      <w:pPr>
        <w:spacing w:after="0" w:line="66" w:lineRule="exact"/>
        <w:rPr>
          <w:sz w:val="20"/>
          <w:szCs w:val="20"/>
          <w:color w:val="auto"/>
        </w:rPr>
      </w:pPr>
    </w:p>
    <w:p>
      <w:pPr>
        <w:ind w:left="300" w:right="359" w:firstLine="360"/>
        <w:spacing w:after="0" w:line="256" w:lineRule="auto"/>
        <w:rPr>
          <w:sz w:val="20"/>
          <w:szCs w:val="20"/>
          <w:color w:val="auto"/>
        </w:rPr>
      </w:pPr>
      <w:r>
        <w:rPr>
          <w:rFonts w:ascii="Times New Roman" w:cs="Times New Roman" w:eastAsia="Times New Roman" w:hAnsi="Times New Roman"/>
          <w:sz w:val="18"/>
          <w:szCs w:val="18"/>
          <w:i w:val="1"/>
          <w:iCs w:val="1"/>
          <w:color w:val="auto"/>
        </w:rPr>
        <w:t>Change of the Pacira Board Recommendation</w:t>
      </w:r>
      <w:r>
        <w:rPr>
          <w:rFonts w:ascii="Times New Roman" w:cs="Times New Roman" w:eastAsia="Times New Roman" w:hAnsi="Times New Roman"/>
          <w:sz w:val="18"/>
          <w:szCs w:val="18"/>
          <w:color w:val="auto"/>
        </w:rPr>
        <w:t>. As described above, and subject to the provisions described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below, the Pacira Board has resolved to recommend that Pacira stockholders tender their Shares to Purchaser pursuant to the Offer. The foregoing recommendation is referred to herein as the “Pacira Board Recommendation.” Unless the Pacira Board has made a Pacira Adverse Change Recommendation (as defined below), the Pacira Board has also agreed to include the Pacira Board Recommendation in the Schedule 14D-9 and to permit Viatris to include a description of the Pacira Board Recommendation in this Offer to Purchase and other documents related to the Offer.</w:t>
      </w:r>
    </w:p>
    <w:p>
      <w:pPr>
        <w:spacing w:after="0" w:line="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Except as described below, during the Pre-Closing Period, neither the Pacira Board nor any committee of the</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Pacira Board may:</w:t>
      </w:r>
    </w:p>
    <w:p>
      <w:pPr>
        <w:spacing w:after="0" w:line="99" w:lineRule="exact"/>
        <w:rPr>
          <w:sz w:val="20"/>
          <w:szCs w:val="20"/>
          <w:color w:val="auto"/>
        </w:rPr>
      </w:pPr>
    </w:p>
    <w:p>
      <w:pPr>
        <w:ind w:left="1000" w:right="479" w:hanging="348"/>
        <w:spacing w:after="0" w:line="266" w:lineRule="auto"/>
        <w:tabs>
          <w:tab w:leader="none" w:pos="10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 or withhold (or modify, change or qualify in a manner adverse to Viatris or Purchaser), or publicly propose to withdraw or withhold (or modify, change or qualify in a manner adverse to Viatris or Purchaser), the Pacira Board Recommendation;</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include the Pacira Board Recommendation in the Schedule 14D-9 when mailed;</w:t>
      </w:r>
    </w:p>
    <w:p>
      <w:pPr>
        <w:spacing w:after="0" w:line="117" w:lineRule="exact"/>
        <w:rPr>
          <w:rFonts w:ascii="Times New Roman" w:cs="Times New Roman" w:eastAsia="Times New Roman" w:hAnsi="Times New Roman"/>
          <w:sz w:val="18"/>
          <w:szCs w:val="18"/>
          <w:color w:val="auto"/>
        </w:rPr>
      </w:pPr>
    </w:p>
    <w:p>
      <w:pPr>
        <w:ind w:left="1000" w:right="599" w:hanging="348"/>
        <w:spacing w:after="0" w:line="282" w:lineRule="auto"/>
        <w:tabs>
          <w:tab w:leader="none" w:pos="10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approve, recommend or declare advisable, or publicly propose to adopt, approve, recommend or declare advisable, any Acquisition Proposal;</w:t>
      </w:r>
    </w:p>
    <w:p>
      <w:pPr>
        <w:spacing w:after="0" w:line="53" w:lineRule="exact"/>
        <w:rPr>
          <w:rFonts w:ascii="Times New Roman" w:cs="Times New Roman" w:eastAsia="Times New Roman" w:hAnsi="Times New Roman"/>
          <w:sz w:val="18"/>
          <w:szCs w:val="18"/>
          <w:color w:val="auto"/>
        </w:rPr>
      </w:pPr>
    </w:p>
    <w:p>
      <w:pPr>
        <w:ind w:left="1000" w:right="459" w:hanging="348"/>
        <w:spacing w:after="0" w:line="266" w:lineRule="auto"/>
        <w:tabs>
          <w:tab w:leader="none" w:pos="10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recommend or enter into, or propose publicly to approve, recommend or enter into, any letter of intent, acquisition agreement, agreement in principle or other contract relating to or providing for any Acquisition Proposal;</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5" w:name="page46"/>
    <w:bookmarkEnd w:id="4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479" w:hanging="348"/>
        <w:spacing w:after="0" w:line="266" w:lineRule="auto"/>
        <w:tabs>
          <w:tab w:leader="none" w:pos="10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publicly reaffirm the Pacira Board Recommendation within five (5) Business Days of Viatris’ written request to do so following the public announcement of any Acquisition Proposal (or any material amendment to any Acquisition Proposal);</w:t>
      </w:r>
    </w:p>
    <w:p>
      <w:pPr>
        <w:spacing w:after="0" w:line="67" w:lineRule="exact"/>
        <w:rPr>
          <w:rFonts w:ascii="Times New Roman" w:cs="Times New Roman" w:eastAsia="Times New Roman" w:hAnsi="Times New Roman"/>
          <w:sz w:val="18"/>
          <w:szCs w:val="18"/>
          <w:color w:val="auto"/>
        </w:rPr>
      </w:pPr>
    </w:p>
    <w:p>
      <w:pPr>
        <w:ind w:left="1000" w:right="519" w:hanging="348"/>
        <w:spacing w:after="0" w:line="261" w:lineRule="auto"/>
        <w:tabs>
          <w:tab w:leader="none" w:pos="10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tender offer or exchange offer subject to Regulation 14D under the Exchange Act, fail to recommend, in a Solicitation/Recommendation Statement on Schedule 14D-9, rejection of such tender offer or exchange offer within ten (10) Business Days of the commencement of such tender offer or exchange offer; or</w:t>
      </w:r>
    </w:p>
    <w:p>
      <w:pPr>
        <w:spacing w:after="0" w:line="71"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resolve or agree to do any of the foregoing.</w:t>
      </w:r>
    </w:p>
    <w:p>
      <w:pPr>
        <w:spacing w:after="0" w:line="117" w:lineRule="exact"/>
        <w:rPr>
          <w:sz w:val="20"/>
          <w:szCs w:val="20"/>
          <w:color w:val="auto"/>
        </w:rPr>
      </w:pPr>
    </w:p>
    <w:p>
      <w:pPr>
        <w:ind w:left="300" w:right="1159" w:firstLine="360"/>
        <w:spacing w:after="0" w:line="282" w:lineRule="auto"/>
        <w:rPr>
          <w:sz w:val="20"/>
          <w:szCs w:val="20"/>
          <w:color w:val="auto"/>
        </w:rPr>
      </w:pPr>
      <w:r>
        <w:rPr>
          <w:rFonts w:ascii="Times New Roman" w:cs="Times New Roman" w:eastAsia="Times New Roman" w:hAnsi="Times New Roman"/>
          <w:sz w:val="18"/>
          <w:szCs w:val="18"/>
          <w:color w:val="auto"/>
        </w:rPr>
        <w:t>Any action described in the foregoing seven bullet points is referred to as a “Pacira Adverse Change Recommendation.”</w:t>
      </w:r>
    </w:p>
    <w:p>
      <w:pPr>
        <w:spacing w:after="0" w:line="54" w:lineRule="exact"/>
        <w:rPr>
          <w:sz w:val="20"/>
          <w:szCs w:val="20"/>
          <w:color w:val="auto"/>
        </w:rPr>
      </w:pPr>
    </w:p>
    <w:p>
      <w:pPr>
        <w:ind w:left="300" w:right="359" w:firstLine="360"/>
        <w:spacing w:after="0" w:line="256" w:lineRule="auto"/>
        <w:rPr>
          <w:sz w:val="20"/>
          <w:szCs w:val="20"/>
          <w:color w:val="auto"/>
        </w:rPr>
      </w:pPr>
      <w:r>
        <w:rPr>
          <w:rFonts w:ascii="Times New Roman" w:cs="Times New Roman" w:eastAsia="Times New Roman" w:hAnsi="Times New Roman"/>
          <w:sz w:val="18"/>
          <w:szCs w:val="18"/>
          <w:color w:val="auto"/>
        </w:rPr>
        <w:t>The Merger Agreement further provides that, during the Pre-Closing Period, neither the Pacira Board nor any committee thereof will adopt, approve, recommend or declare advisable, or propose to adopt, approve, recommend or declare advisable, enter into or allow Pacira or any of its subsidiaries to execute or enter into any contract (i) with respect to any Acquisition Proposal or (ii) requiring, or that would reasonably be expected to cause, Pacira to abandon, materially delay, terminate or fail to consummate the transactions contemplated by the Merger Agreement (other than an Acceptable Confidentiality Agreement as described above).</w:t>
      </w:r>
    </w:p>
    <w:p>
      <w:pPr>
        <w:spacing w:after="0" w:line="79" w:lineRule="exact"/>
        <w:rPr>
          <w:sz w:val="20"/>
          <w:szCs w:val="20"/>
          <w:color w:val="auto"/>
        </w:rPr>
      </w:pPr>
    </w:p>
    <w:p>
      <w:pPr>
        <w:ind w:left="300" w:right="359" w:firstLine="360"/>
        <w:spacing w:after="0" w:line="255" w:lineRule="auto"/>
        <w:rPr>
          <w:sz w:val="20"/>
          <w:szCs w:val="20"/>
          <w:color w:val="auto"/>
        </w:rPr>
      </w:pPr>
      <w:r>
        <w:rPr>
          <w:rFonts w:ascii="Times New Roman" w:cs="Times New Roman" w:eastAsia="Times New Roman" w:hAnsi="Times New Roman"/>
          <w:sz w:val="18"/>
          <w:szCs w:val="18"/>
          <w:color w:val="auto"/>
        </w:rPr>
        <w:t xml:space="preserve">However, notwithstanding the foregoing, at any time prior to the Offer Acceptance Time, if Pacira has received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written Acquisition Proposal (which Acquisition Proposal did not result from or arise out of a breach of the obligations of Pacira described above under subsection “—No Solicitation”) from any person that has not been withdrawn and, after consultation with Pacira’s financial advisors and outside legal counsel, the Pacira Board has determined in good faith that such Acquisition Proposal is a Superior Offer, (x) the Pacira Board may make a Pacira Adverse Change Recommendation or (y) Pacira may terminate the Merger Agreement to enter into a Specified Agreement (as defined below) with respect to such Superior Offer, in each case, if and only if:</w:t>
      </w:r>
    </w:p>
    <w:p>
      <w:pPr>
        <w:spacing w:after="0" w:line="81" w:lineRule="exact"/>
        <w:rPr>
          <w:sz w:val="20"/>
          <w:szCs w:val="20"/>
          <w:color w:val="auto"/>
        </w:rPr>
      </w:pPr>
    </w:p>
    <w:p>
      <w:pPr>
        <w:jc w:val="both"/>
        <w:ind w:left="1000" w:right="479" w:hanging="348"/>
        <w:spacing w:after="0" w:line="266" w:lineRule="auto"/>
        <w:tabs>
          <w:tab w:leader="none" w:pos="10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Pacira Board determines in good faith, after consultation with Pacira’s financial advisors and outside legal counsel, that the failure to do so would reasonably be expected to be inconsistent with the fiduciary duties of the Pacira Board under applicable law;</w:t>
      </w:r>
    </w:p>
    <w:p>
      <w:pPr>
        <w:spacing w:after="0" w:line="67" w:lineRule="exact"/>
        <w:rPr>
          <w:rFonts w:ascii="Times New Roman" w:cs="Times New Roman" w:eastAsia="Times New Roman" w:hAnsi="Times New Roman"/>
          <w:sz w:val="18"/>
          <w:szCs w:val="18"/>
          <w:color w:val="auto"/>
        </w:rPr>
      </w:pPr>
    </w:p>
    <w:p>
      <w:pPr>
        <w:ind w:left="1000" w:right="499" w:hanging="348"/>
        <w:spacing w:after="0" w:line="261" w:lineRule="auto"/>
        <w:tabs>
          <w:tab w:leader="none" w:pos="10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Pacira has given Viatris prior written notice of its intention to consider making a Pacira Adverse Change Recommendation or terminating the Merger Agreement to accept such Superior Offer at least</w:t>
      </w:r>
    </w:p>
    <w:p>
      <w:pPr>
        <w:jc w:val="both"/>
        <w:ind w:left="1000" w:right="399"/>
        <w:spacing w:after="0" w:line="2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four (4) Business Days prior to making any such Pacira Adverse Change Recommendation or termination (a “Determination Notice”) (which notice will not constitute a Pacira Adverse Change Recommendation);</w:t>
      </w:r>
    </w:p>
    <w:p>
      <w:pPr>
        <w:spacing w:after="0" w:line="49" w:lineRule="exact"/>
        <w:rPr>
          <w:rFonts w:ascii="Times New Roman" w:cs="Times New Roman" w:eastAsia="Times New Roman" w:hAnsi="Times New Roman"/>
          <w:sz w:val="18"/>
          <w:szCs w:val="18"/>
          <w:color w:val="auto"/>
        </w:rPr>
      </w:pPr>
    </w:p>
    <w:p>
      <w:pPr>
        <w:ind w:left="1000" w:right="559" w:hanging="348"/>
        <w:spacing w:after="0" w:line="261" w:lineRule="auto"/>
        <w:tabs>
          <w:tab w:leader="none" w:pos="10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Pacira has provided to Viatris all the material terms and conditions of such Acquisition Proposal and all other information required to be provided in connection therewith (as described above under subsection “—No Solicitation”), including copies of the definitive agreements and other applicable transaction documentation (including financing documentation) relating to such Acquisition Proposal;</w:t>
      </w:r>
    </w:p>
    <w:p>
      <w:pPr>
        <w:spacing w:after="0" w:line="71" w:lineRule="exact"/>
        <w:rPr>
          <w:rFonts w:ascii="Times New Roman" w:cs="Times New Roman" w:eastAsia="Times New Roman" w:hAnsi="Times New Roman"/>
          <w:sz w:val="18"/>
          <w:szCs w:val="18"/>
          <w:color w:val="auto"/>
        </w:rPr>
      </w:pPr>
    </w:p>
    <w:p>
      <w:pPr>
        <w:ind w:left="1000" w:right="419" w:hanging="348"/>
        <w:spacing w:after="0" w:line="258" w:lineRule="auto"/>
        <w:tabs>
          <w:tab w:leader="none" w:pos="10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Pacira has given Viatris four (4) Business Days after Viatris’ receipt of the Determination Notice to propose revisions to the terms of the Merger Agreement or make another proposal, so that such Acquisition Proposal would cease to constitute a Superior Offer, and, to the extent requested by Viatris, has negotiated in good faith with Viatris and its representatives with respect to such proposed revisions or other proposal, if any; and</w:t>
      </w:r>
    </w:p>
    <w:p>
      <w:pPr>
        <w:spacing w:after="0" w:line="75" w:lineRule="exact"/>
        <w:rPr>
          <w:rFonts w:ascii="Times New Roman" w:cs="Times New Roman" w:eastAsia="Times New Roman" w:hAnsi="Times New Roman"/>
          <w:sz w:val="18"/>
          <w:szCs w:val="18"/>
          <w:color w:val="auto"/>
        </w:rPr>
      </w:pPr>
    </w:p>
    <w:p>
      <w:pPr>
        <w:ind w:left="1000" w:right="459" w:hanging="348"/>
        <w:spacing w:after="0" w:line="255" w:lineRule="auto"/>
        <w:tabs>
          <w:tab w:leader="none" w:pos="10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end of such four (4) Business Day period, after consultation with Pacira’s financial advisors and outside legal counsel, the Pacira Board has determined in good faith, taking into account any revisions to the terms of the Merger Agreement or other proposal made by Viatris, that such Acquisition Proposal continues to constitute a Superior Offer and that the failure to make the Pacira Adverse Change Recommendation or terminate the Merger Agreement to accept such Superior Offer would continue to reasonably be expected to be inconsistent with the fiduciary duties of the Pacira Board under applicable law.</w:t>
      </w:r>
    </w:p>
    <w:p>
      <w:pPr>
        <w:spacing w:after="0" w:line="81" w:lineRule="exact"/>
        <w:rPr>
          <w:sz w:val="20"/>
          <w:szCs w:val="20"/>
          <w:color w:val="auto"/>
        </w:rPr>
      </w:pPr>
    </w:p>
    <w:p>
      <w:pPr>
        <w:ind w:left="300" w:right="339" w:firstLine="360"/>
        <w:spacing w:after="0" w:line="282" w:lineRule="auto"/>
        <w:rPr>
          <w:sz w:val="20"/>
          <w:szCs w:val="20"/>
          <w:color w:val="auto"/>
        </w:rPr>
      </w:pPr>
      <w:r>
        <w:rPr>
          <w:rFonts w:ascii="Times New Roman" w:cs="Times New Roman" w:eastAsia="Times New Roman" w:hAnsi="Times New Roman"/>
          <w:sz w:val="18"/>
          <w:szCs w:val="18"/>
          <w:color w:val="auto"/>
        </w:rPr>
        <w:t>If there are any material amendments, revisions or changes to the terms of any such Superior Offer, Pacira must notify Viatris of each such material amendment, revision or change, and the then-remaining portion of such</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6" w:name="page47"/>
    <w:bookmarkEnd w:id="4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39"/>
        <w:spacing w:after="0" w:line="266" w:lineRule="auto"/>
        <w:rPr>
          <w:sz w:val="20"/>
          <w:szCs w:val="20"/>
          <w:color w:val="auto"/>
        </w:rPr>
      </w:pPr>
      <w:r>
        <w:rPr>
          <w:rFonts w:ascii="Times New Roman" w:cs="Times New Roman" w:eastAsia="Times New Roman" w:hAnsi="Times New Roman"/>
          <w:sz w:val="18"/>
          <w:szCs w:val="18"/>
          <w:color w:val="auto"/>
        </w:rPr>
        <w:t>four (4) Business Day period will be extended by two (2) Business Days from the time that Viatris receives such notification, provided that, if no portion of such four (4) Business Day period remains, a new three (3) Business Day period will commence as a result of any such material amendment, revision or change.</w:t>
      </w:r>
    </w:p>
    <w:p>
      <w:pPr>
        <w:spacing w:after="0" w:line="68" w:lineRule="exact"/>
        <w:rPr>
          <w:sz w:val="20"/>
          <w:szCs w:val="20"/>
          <w:color w:val="auto"/>
        </w:rPr>
      </w:pPr>
    </w:p>
    <w:p>
      <w:pPr>
        <w:ind w:left="300" w:right="319" w:firstLine="360"/>
        <w:spacing w:after="0" w:line="272" w:lineRule="auto"/>
        <w:rPr>
          <w:sz w:val="20"/>
          <w:szCs w:val="20"/>
          <w:color w:val="auto"/>
        </w:rPr>
      </w:pPr>
      <w:r>
        <w:rPr>
          <w:rFonts w:ascii="Times New Roman" w:cs="Times New Roman" w:eastAsia="Times New Roman" w:hAnsi="Times New Roman"/>
          <w:sz w:val="17"/>
          <w:szCs w:val="17"/>
          <w:color w:val="auto"/>
        </w:rPr>
        <w:t>Additionally, at any time prior to the Offer Acceptance Time, other than in connection with an Acquisition Proposal, the Pacira Board may make a Pacira Adverse Change Recommendation in response to any material event or development or material change in circumstances with respect to Pacira and its subsidiaries, taken as a whole, that</w:t>
      </w:r>
    </w:p>
    <w:p>
      <w:pPr>
        <w:spacing w:after="0" w:line="2" w:lineRule="exact"/>
        <w:rPr>
          <w:sz w:val="20"/>
          <w:szCs w:val="20"/>
          <w:color w:val="auto"/>
        </w:rPr>
      </w:pPr>
    </w:p>
    <w:p>
      <w:pPr>
        <w:ind w:left="300" w:right="359" w:hanging="8"/>
        <w:spacing w:after="0" w:line="265" w:lineRule="auto"/>
        <w:tabs>
          <w:tab w:leader="none" w:pos="515"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was not known or reasonably foreseeable to the Pacira Board as of the date of the Merger Agreement, or was known or reasonably foreseeable to the Pacira Board as of the date of the Merger Agreement but the consequences of which were not known or reasonably foreseeable to the Pacira Board as of the date of the Merger Agreement, and</w:t>
      </w:r>
    </w:p>
    <w:p>
      <w:pPr>
        <w:ind w:left="300" w:right="299" w:hanging="8"/>
        <w:spacing w:after="0" w:line="252" w:lineRule="auto"/>
        <w:tabs>
          <w:tab w:leader="none" w:pos="56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relate to (A) any Acquisition Proposal, (B) any change in the market price or trading volume of Pacira’s stock or change in Pacira’s credit ratings (provided that the underlying causes thereof are not excluded), (C) in and of itself, Pacira meeting or exceeding internal or analysts’ expectations, projections, forecasts, guidance or estimates, including the results of operations of Pacira (provided that the underlying causes thereof are not excluded) or (D) the execution, announcement or pendency of the Merger Agreement and the transactions contemplated thereby (such an event, development or change, a “Change in Circumstance”), if and only if:</w:t>
      </w:r>
    </w:p>
    <w:p>
      <w:pPr>
        <w:spacing w:after="0" w:line="81" w:lineRule="exact"/>
        <w:rPr>
          <w:rFonts w:ascii="Times New Roman" w:cs="Times New Roman" w:eastAsia="Times New Roman" w:hAnsi="Times New Roman"/>
          <w:sz w:val="18"/>
          <w:szCs w:val="18"/>
          <w:color w:val="auto"/>
        </w:rPr>
      </w:pPr>
    </w:p>
    <w:p>
      <w:pPr>
        <w:jc w:val="both"/>
        <w:ind w:left="1000" w:right="479" w:hanging="348"/>
        <w:spacing w:after="0" w:line="266" w:lineRule="auto"/>
        <w:tabs>
          <w:tab w:leader="none" w:pos="100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Pacira Board determines in good faith, after consultation with Pacira’s financial advisors and outside legal counsel, that the failure to do so would reasonably be expected to be inconsistent with the fiduciary duties of the Pacira Board under applicable law;</w:t>
      </w:r>
    </w:p>
    <w:p>
      <w:pPr>
        <w:spacing w:after="0" w:line="67" w:lineRule="exact"/>
        <w:rPr>
          <w:rFonts w:ascii="Times New Roman" w:cs="Times New Roman" w:eastAsia="Times New Roman" w:hAnsi="Times New Roman"/>
          <w:sz w:val="18"/>
          <w:szCs w:val="18"/>
          <w:color w:val="auto"/>
        </w:rPr>
      </w:pPr>
    </w:p>
    <w:p>
      <w:pPr>
        <w:ind w:left="1000" w:right="479" w:hanging="348"/>
        <w:spacing w:after="0" w:line="282" w:lineRule="auto"/>
        <w:tabs>
          <w:tab w:leader="none" w:pos="100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Pacira has given Viatris a Determination Notice at least four (4) Business Days prior to making any such Pacira Adverse Change Recommendation;</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Pacira has specified the Change in Circumstance in reasonable detail;</w:t>
      </w:r>
    </w:p>
    <w:p>
      <w:pPr>
        <w:spacing w:after="0" w:line="117" w:lineRule="exact"/>
        <w:rPr>
          <w:rFonts w:ascii="Times New Roman" w:cs="Times New Roman" w:eastAsia="Times New Roman" w:hAnsi="Times New Roman"/>
          <w:sz w:val="18"/>
          <w:szCs w:val="18"/>
          <w:color w:val="auto"/>
        </w:rPr>
      </w:pPr>
    </w:p>
    <w:p>
      <w:pPr>
        <w:ind w:left="1000" w:right="399" w:hanging="348"/>
        <w:spacing w:after="0" w:line="281" w:lineRule="auto"/>
        <w:tabs>
          <w:tab w:leader="none" w:pos="1000" w:val="left"/>
        </w:tabs>
        <w:numPr>
          <w:ilvl w:val="1"/>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Viatris has had four (4) Business Days after the Determination Notice to propose revisions to the terms of the Merger Agreement or make another proposal so that such Change in Circumstance would no longer necessitate a Pacira Adverse Change Recommendation, and, to the extent requested by Viatris, Pacira has negotiated in good faith with Viatris with respect to such proposed revisions or other proposal, if any; and</w:t>
      </w:r>
    </w:p>
    <w:p>
      <w:pPr>
        <w:spacing w:after="0" w:line="56" w:lineRule="exact"/>
        <w:rPr>
          <w:rFonts w:ascii="Times New Roman" w:cs="Times New Roman" w:eastAsia="Times New Roman" w:hAnsi="Times New Roman"/>
          <w:sz w:val="17"/>
          <w:szCs w:val="17"/>
          <w:color w:val="auto"/>
        </w:rPr>
      </w:pPr>
    </w:p>
    <w:p>
      <w:pPr>
        <w:ind w:left="1000" w:right="319" w:hanging="348"/>
        <w:spacing w:after="0" w:line="256" w:lineRule="auto"/>
        <w:tabs>
          <w:tab w:leader="none" w:pos="100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end of such four (4) Business Day period, the Pacira Board, after consultation with Pacira’s financial advisors and outside legal counsel, taking into account the amendments proposed to the Merger Agreement and the transactions contemplated thereby by Viatris, if any, has determined in good faith that the failure to make the Pacira Adverse Change Recommendation in response to such Change in Circumstance would reasonably be expected to be inconsistent with the fiduciary duties of the Pacira Board under applicable law.</w:t>
      </w:r>
    </w:p>
    <w:p>
      <w:pPr>
        <w:spacing w:after="0" w:line="79" w:lineRule="exact"/>
        <w:rPr>
          <w:sz w:val="20"/>
          <w:szCs w:val="20"/>
          <w:color w:val="auto"/>
        </w:rPr>
      </w:pPr>
    </w:p>
    <w:p>
      <w:pPr>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If there are any material changes to the facts and circumstances relating to such Change in Circumstance, Pacira must notify Viatris of each such material change, and the applicable four (4) Business Day period will be extended until at least three (3) Business Days after the time that Viatris receives notification from Pacira of each such material change.</w:t>
      </w:r>
    </w:p>
    <w:p>
      <w:pPr>
        <w:spacing w:after="0" w:line="72" w:lineRule="exact"/>
        <w:rPr>
          <w:sz w:val="20"/>
          <w:szCs w:val="20"/>
          <w:color w:val="auto"/>
        </w:rPr>
      </w:pPr>
    </w:p>
    <w:p>
      <w:pPr>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None of the provisions in the Merger Agreement, including the provisions described above under subsection “—No Solicitation,” will restrict Pacira from (i) taking and disclosing to its stockholders a position contemplated by Rule 14e-2(a), Rule 14d-9 or Item 1012(a) of Regulation M-A promulgated under the Exchange Act, (ii) making any “stop, look and listen” communication pursuant to Rule 14d-9(f) promulgated under the Exchange Act or</w:t>
      </w:r>
    </w:p>
    <w:p>
      <w:pPr>
        <w:spacing w:after="0" w:line="3" w:lineRule="exact"/>
        <w:rPr>
          <w:sz w:val="20"/>
          <w:szCs w:val="20"/>
          <w:color w:val="auto"/>
        </w:rPr>
      </w:pPr>
    </w:p>
    <w:p>
      <w:pPr>
        <w:jc w:val="both"/>
        <w:ind w:left="300" w:right="519" w:hanging="8"/>
        <w:spacing w:after="0" w:line="253" w:lineRule="auto"/>
        <w:tabs>
          <w:tab w:leader="none" w:pos="61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any legally required disclosure to its stockholders, provided that, in the case of each of clauses (i), (ii) and (iii), such disclosure, to the extent related to an Acquisition Proposal, includes an express reaffirmation of the Pacira Board Recommendation, and none of the foregoing actions will be deemed to constitute a Pacira Adverse Change Recommendation.</w:t>
      </w:r>
    </w:p>
    <w:p>
      <w:pPr>
        <w:spacing w:after="0" w:line="79" w:lineRule="exact"/>
        <w:rPr>
          <w:sz w:val="20"/>
          <w:szCs w:val="20"/>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Access to Information</w:t>
      </w:r>
      <w:r>
        <w:rPr>
          <w:rFonts w:ascii="Times New Roman" w:cs="Times New Roman" w:eastAsia="Times New Roman" w:hAnsi="Times New Roman"/>
          <w:sz w:val="18"/>
          <w:szCs w:val="18"/>
          <w:color w:val="auto"/>
        </w:rPr>
        <w:t>. During the Pre-Closing Period, upon reasonable advance notice to Pacira, Pacira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agreed to provide Viatris and its representatives with reasonable access during normal business hours to Pacira’s and its subsidiaries’ officers, employees, other personnel, and assets and to all existing books and records, and to furnish to Viatris such financial and operating data and other information as Viatris may reasonably request, in each case, subject to customary exceptions and limitations.</w:t>
      </w:r>
    </w:p>
    <w:p>
      <w:pPr>
        <w:spacing w:after="0" w:line="75" w:lineRule="exact"/>
        <w:rPr>
          <w:sz w:val="20"/>
          <w:szCs w:val="20"/>
          <w:color w:val="auto"/>
        </w:rPr>
      </w:pPr>
    </w:p>
    <w:p>
      <w:pPr>
        <w:ind w:left="300" w:right="479" w:firstLine="360"/>
        <w:spacing w:after="0" w:line="315" w:lineRule="auto"/>
        <w:rPr>
          <w:sz w:val="20"/>
          <w:szCs w:val="20"/>
          <w:color w:val="auto"/>
        </w:rPr>
      </w:pPr>
      <w:r>
        <w:rPr>
          <w:rFonts w:ascii="Times New Roman" w:cs="Times New Roman" w:eastAsia="Times New Roman" w:hAnsi="Times New Roman"/>
          <w:sz w:val="17"/>
          <w:szCs w:val="17"/>
          <w:i w:val="1"/>
          <w:iCs w:val="1"/>
          <w:color w:val="auto"/>
        </w:rPr>
        <w:t>Reasonable Best Efforts</w:t>
      </w:r>
      <w:r>
        <w:rPr>
          <w:rFonts w:ascii="Times New Roman" w:cs="Times New Roman" w:eastAsia="Times New Roman" w:hAnsi="Times New Roman"/>
          <w:sz w:val="17"/>
          <w:szCs w:val="17"/>
          <w:color w:val="auto"/>
        </w:rPr>
        <w:t>. The Merger Agreement provides that the parties must use reasonable best efforts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take, or cause to be taken, all actions, to file, or cause to be filed, all documents and to do, or cause to be done, and</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7" w:name="page48"/>
    <w:bookmarkEnd w:id="4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59"/>
        <w:spacing w:after="0" w:line="253" w:lineRule="auto"/>
        <w:rPr>
          <w:sz w:val="20"/>
          <w:szCs w:val="20"/>
          <w:color w:val="auto"/>
        </w:rPr>
      </w:pPr>
      <w:r>
        <w:rPr>
          <w:rFonts w:ascii="Times New Roman" w:cs="Times New Roman" w:eastAsia="Times New Roman" w:hAnsi="Times New Roman"/>
          <w:sz w:val="18"/>
          <w:szCs w:val="18"/>
          <w:color w:val="auto"/>
        </w:rPr>
        <w:t>to assist and cooperate with the other parties in doing, all things necessary, proper or advisable under applicable antitrust laws to consummate and make effective the transactions contemplated by the Merger Agreement as soon as reasonably practicable, including (i) the obtaining of all necessary actions or nonactions, waivers, consents, clearances, decisions, declarations, approvals and expirations or terminations of waiting periods from governmental bodies and the making of all necessary registrations and filings and the taking of all steps as may be reasonably necessary to obtain any such consent, decision, declaration, approval, clearance or waiver, or expiration or termination of a waiting period by or from, or to avoid an action or proceeding by, any governmental body in connection with any antitrust law; (ii) the obtaining of all necessary consents, authorizations, approvals or waivers from third parties; and (iii) the execution and delivery of any additional instruments necessary to consummate the transactions contemplated by the Merger Agreement.</w:t>
      </w:r>
    </w:p>
    <w:p>
      <w:pPr>
        <w:spacing w:after="0" w:line="86" w:lineRule="exact"/>
        <w:rPr>
          <w:sz w:val="20"/>
          <w:szCs w:val="20"/>
          <w:color w:val="auto"/>
        </w:rPr>
      </w:pPr>
    </w:p>
    <w:p>
      <w:pPr>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Each of the parties agreed to promptly, and in no event later than fifteen (15) Business Days after the date of the Merger Agreement, unless otherwise agreed to in writing by Viatris and Pacira, make an appropriate filing of all Notification and Report forms as required by the HSR Act and applicable state antitrust laws with respect to the transactions contemplated by the Merger Agreement, and to cooperate with each other in determining whether, and promptly preparing and making, any other filings or notifications or other consents required to be made with, or obtained from, any other governmental bodies in connection with such transactions.</w:t>
      </w:r>
    </w:p>
    <w:p>
      <w:pPr>
        <w:spacing w:after="0" w:line="79" w:lineRule="exact"/>
        <w:rPr>
          <w:sz w:val="20"/>
          <w:szCs w:val="20"/>
          <w:color w:val="auto"/>
        </w:rPr>
      </w:pPr>
    </w:p>
    <w:p>
      <w:pPr>
        <w:ind w:left="300" w:right="319" w:firstLine="360"/>
        <w:spacing w:after="0" w:line="266" w:lineRule="auto"/>
        <w:rPr>
          <w:sz w:val="20"/>
          <w:szCs w:val="20"/>
          <w:color w:val="auto"/>
        </w:rPr>
      </w:pPr>
      <w:r>
        <w:rPr>
          <w:rFonts w:ascii="Times New Roman" w:cs="Times New Roman" w:eastAsia="Times New Roman" w:hAnsi="Times New Roman"/>
          <w:sz w:val="17"/>
          <w:szCs w:val="17"/>
          <w:color w:val="auto"/>
        </w:rPr>
        <w:t>During the Pre-Closing Period, if Viatris and Pacira disagree with respect to strategy, Viatris has the right to direct and control all strategy in connection with obtaining any consents, permits, authorizations, waivers, clearances, approvals or expiration or termination of the waiting period under the HSR Act or other antitrust law, including in any legal proceeding initiated by any governmental body seeking any Orders which would have the effect of preventing or delaying the closing of the Merger, provided that neither Viatris nor Pacira may enter into, amend or extend any timing agreement with any governmental body in connection with the transactions contemplated by the Merger Agreement without the prior written consent of the other party (not to be unreasonably withheld, conditioned or delayed). Subject to the immediately preceding sentence, each of Pacira and Viatris (on its and Purchaser’s behalf) will use its reasonable best efforts to (i) reasonably cooperate in all respects and consult with each other in connection with any filing or submission in connection with any investigation or other inquiry, including allowing the other party to have a reasonable opportunity to review in advance and comment on drafts of filings and submissions and providing the other party with any information that may be necessary to prepare any such filings and submissions, (ii) give the other party prompt notice of the making or commencement of any request, inquiry, investigation, action or legal proceeding brought by a governmental body or brought by a third party before any governmental body, in each case, with respect to the transactions contemplated by the Merger Agreement,</w:t>
      </w:r>
    </w:p>
    <w:p>
      <w:pPr>
        <w:spacing w:after="0" w:line="8" w:lineRule="exact"/>
        <w:rPr>
          <w:sz w:val="20"/>
          <w:szCs w:val="20"/>
          <w:color w:val="auto"/>
        </w:rPr>
      </w:pPr>
    </w:p>
    <w:p>
      <w:pPr>
        <w:ind w:left="300" w:right="339" w:hanging="8"/>
        <w:spacing w:after="0" w:line="266" w:lineRule="auto"/>
        <w:tabs>
          <w:tab w:leader="none" w:pos="615"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keep the other party promptly informed as to the status of any such request, inquiry, investigation, action or legal proceeding, (iv) promptly inform the other party of any communication to or from the FTC, the U.S. Department of Justice (the “DOJ”) or any other governmental body in connection with any such request, inquiry, investigation, action or legal proceeding, (v) promptly furnish to the other party copies of documents provided to or received from any governmental body in connection with any such request, inquiry, investigation, action or legal proceeding, (vi) consult in advance and cooperate with the other party and consider in good faith the views of the other party in connection with any substantive communication, analysis, appearance, presentation, memorandum, brief, argument, opinion or proposal to be made or submitted in connection with any such request, inquiry, investigation, action, filing or legal proceeding and (vii) except as may be prohibited by any governmental body or by any law, in connection with any such request, inquiry, investigation, action or legal proceeding in respect of the transactions contemplated by the Merger Agreement, provide advance notice of and permit authorized representatives of the other party to be present at each meeting or conference, including any virtual, video or telephonic meetings and discussions, relating to any such request, inquiry, investigation, action or legal proceeding and to have access to and be consulted in advance in connection with any argument, opinion or proposal to be made or submitted to any governmental body in connection with such request, inquiry, investigation, action or legal proceeding, provided that materials required to be provided may be redacted (A) to remove references concerning the valuation of Pacira or any of its subsidiaries or assets, (B) as necessary to comply with contractual arrangements and (C) as necessary to address reasonable privilege concerns. Each party will supply as promptly as practicable such information, documentation, other material or testimony that may be reasonably requested by any governmental body, including by complying at the earliest reasonably practicable date with any reasonable request for additional information, documents or other materials received by any party or any of their respective subsidiaries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8" w:name="page49"/>
    <w:bookmarkEnd w:id="4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39"/>
        <w:spacing w:after="0" w:line="266" w:lineRule="auto"/>
        <w:rPr>
          <w:sz w:val="20"/>
          <w:szCs w:val="20"/>
          <w:color w:val="auto"/>
        </w:rPr>
      </w:pPr>
      <w:r>
        <w:rPr>
          <w:rFonts w:ascii="Times New Roman" w:cs="Times New Roman" w:eastAsia="Times New Roman" w:hAnsi="Times New Roman"/>
          <w:sz w:val="18"/>
          <w:szCs w:val="18"/>
          <w:color w:val="auto"/>
        </w:rPr>
        <w:t>from any governmental body in connection with such applications or filings for the transactions contemplated by the Merger Agreement. All filing fees under the HSR Act and for any filings required under applicable state or foreign antitrust laws will be borne 50% by Viatris and 50% by Pacira.</w:t>
      </w:r>
    </w:p>
    <w:p>
      <w:pPr>
        <w:spacing w:after="0" w:line="68" w:lineRule="exact"/>
        <w:rPr>
          <w:sz w:val="20"/>
          <w:szCs w:val="20"/>
          <w:color w:val="auto"/>
        </w:rPr>
      </w:pPr>
    </w:p>
    <w:p>
      <w:pPr>
        <w:ind w:left="300" w:right="319" w:firstLine="360"/>
        <w:spacing w:after="0" w:line="251" w:lineRule="auto"/>
        <w:rPr>
          <w:sz w:val="20"/>
          <w:szCs w:val="20"/>
          <w:color w:val="auto"/>
        </w:rPr>
      </w:pPr>
      <w:r>
        <w:rPr>
          <w:rFonts w:ascii="Times New Roman" w:cs="Times New Roman" w:eastAsia="Times New Roman" w:hAnsi="Times New Roman"/>
          <w:sz w:val="18"/>
          <w:szCs w:val="18"/>
          <w:color w:val="auto"/>
        </w:rPr>
        <w:t>By way of illustration and not limitation, the parties have agreed to promptly take, and cause their affiliates to take, all actions and steps requested or required by any governmental body as a condition to granting any consent, permit, authorization, waiver, clearance or approval, and to cause the prompt expiration or termination of any applicable waiting period and to resolve objections, if any, of the FTC, the DOJ or other governmental bodies of any other jurisdiction for which consents, permits, authorizations, waivers, clearances, approvals and expirations or terminations of waiting periods are sought with respect to the transactions contemplated by the Merger Agreement, so as to obtain such consents, permits, authorizations, waivers, clearances, approvals or expiration or termination of the waiting period under the HSR Act or other antitrust laws, to avoid the commencement of a lawsuit by the FTC, the DOJ or any other governmental body under antitrust laws, and to avoid the entry of, or to effect the dissolution of, any Order in any legal proceeding that would otherwise have the effect of preventing the closing of the Merger or materially delaying the Offer Acceptance Time or the closing of the Merger or delaying the Offer Acceptance Time beyond the Expiration Date, including (i) negotiating, committing to and effecting, by consent decree, hold separate order or otherwise, the sale, lease, license, divestiture or disposition of any assets, rights, product lines or businesses of Pacira, Viatris or any of their respective subsidiaries, (ii) terminating existing relationships, contractual rights or obligations of Pacira, Viatris or any of their respective subsidiaries, (iii) terminating any venture or other arrangement, (iv) creating any relationship, contractual rights or obligations of Pacira, Viatris or any of their respective subsidiaries, (v) effectuating any other change or restructuring of Pacira, Viatris or any of their respective subsidiaries and (vi) otherwise taking or committing to take any actions with respect to the businesses, product lines or assets of Pacira, Viatris or any of their respective subsidiaries (each of the actions described in clauses (i) through (vi), a “Remedial Action”). However, nothing in the Merger Agreement will require Viatris or its affiliates to take or agree to take any Remedial Action that (A) would require the sale, lease, license, divestiture or disposition of, or the holding separate of, EXPAREL® (bupivacaine liposome injectable suspension) or ZILRETTA® (triamcinolone acetonide extended-release injectable suspension) or any material rights relating thereto, (B) would be material to the business of Viatris and its affiliates (including Pacira and its subsidiaries), taken as a whole, measured relative to the size and scale of Pacira and its subsidiaries, taken as a whole, as of the date of the Merger Agreement, or (C) would reasonably be expected to result in a material impairment to the overall benefits expected to be realized by Viatris from the consummation of the transactions contemplated by the Merger Agreement (any such requirement described in clauses (A), (B) or (C), a “Burdensome Condition”). Nothing in the Merger Agreement will require any party or its affiliates to take or commit to take any Remedial Action unless such Remedial Action is conditioned on the occurrence of the closing of the Merger, provided that, if so requested by Viatris, Pacira will agree to take any Remedial Action that is conditioned upon the occurrence of the closing of the Merger. Pacira will not, and will cause its subsidiaries not to, agree or proffer to take any Remedial Action without the prior written consent of Viatris.</w:t>
      </w:r>
    </w:p>
    <w:p>
      <w:pPr>
        <w:spacing w:after="0" w:line="92" w:lineRule="exact"/>
        <w:rPr>
          <w:sz w:val="20"/>
          <w:szCs w:val="20"/>
          <w:color w:val="auto"/>
        </w:rPr>
      </w:pPr>
    </w:p>
    <w:p>
      <w:pPr>
        <w:ind w:left="300" w:right="359" w:firstLine="360"/>
        <w:spacing w:after="0" w:line="254" w:lineRule="auto"/>
        <w:rPr>
          <w:sz w:val="20"/>
          <w:szCs w:val="20"/>
          <w:color w:val="auto"/>
        </w:rPr>
      </w:pPr>
      <w:r>
        <w:rPr>
          <w:rFonts w:ascii="Times New Roman" w:cs="Times New Roman" w:eastAsia="Times New Roman" w:hAnsi="Times New Roman"/>
          <w:sz w:val="18"/>
          <w:szCs w:val="18"/>
          <w:color w:val="auto"/>
        </w:rPr>
        <w:t>In addition, Viatris and Purchaser have agreed not to, before the closing of the Merger, permit any of their subsidiaries to, directly or indirectly, acquire or agree to acquire any assets, business or equity of, whether by merger, consolidation, purchasing the assets of or equity in, or licensing of the assets of, any person, which would result in Viatris owning, directly or indirectly, any product or product candidate that competes with any Company Product, in each case, if the entering into of an agreement relating to or the consummation of such acquisition would, or would reasonably be expected to, prevent or materially delay or materially impair the ability of the parties to obtain the expiration or termination of any waiting period applicable to the transactions contemplated by the Merger Agreement under the HSR Act.</w:t>
      </w:r>
    </w:p>
    <w:p>
      <w:pPr>
        <w:spacing w:after="0" w:line="82" w:lineRule="exact"/>
        <w:rPr>
          <w:sz w:val="20"/>
          <w:szCs w:val="20"/>
          <w:color w:val="auto"/>
        </w:rPr>
      </w:pPr>
    </w:p>
    <w:p>
      <w:pPr>
        <w:ind w:left="300" w:right="359" w:firstLine="360"/>
        <w:spacing w:after="0" w:line="270" w:lineRule="auto"/>
        <w:rPr>
          <w:sz w:val="20"/>
          <w:szCs w:val="20"/>
          <w:color w:val="auto"/>
        </w:rPr>
      </w:pPr>
      <w:r>
        <w:rPr>
          <w:rFonts w:ascii="Times New Roman" w:cs="Times New Roman" w:eastAsia="Times New Roman" w:hAnsi="Times New Roman"/>
          <w:sz w:val="17"/>
          <w:szCs w:val="17"/>
          <w:i w:val="1"/>
          <w:iCs w:val="1"/>
          <w:color w:val="auto"/>
        </w:rPr>
        <w:t>Employee Matters</w:t>
      </w:r>
      <w:r>
        <w:rPr>
          <w:rFonts w:ascii="Times New Roman" w:cs="Times New Roman" w:eastAsia="Times New Roman" w:hAnsi="Times New Roman"/>
          <w:sz w:val="17"/>
          <w:szCs w:val="17"/>
          <w:color w:val="auto"/>
        </w:rPr>
        <w:t>. The Merger Agreement provides that from and after the Effective Time, Viatris will assume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honor, or cause to be assumed and honored, (a) all severance and employment agreements for each employee of Pacira and its subsidiaries as of immediately prior to the Effective Time and who continues to be employed by Viatris or the Surviving Corporation or any of its affiliates following the Effective Time (each, a “Continuing Employee”), in each case, in accordance with their terms as in effect immediately prior to the Effective Time and</w:t>
      </w:r>
    </w:p>
    <w:p>
      <w:pPr>
        <w:spacing w:after="0" w:line="1" w:lineRule="exact"/>
        <w:rPr>
          <w:sz w:val="20"/>
          <w:szCs w:val="20"/>
          <w:color w:val="auto"/>
        </w:rPr>
      </w:pPr>
    </w:p>
    <w:p>
      <w:pPr>
        <w:ind w:left="300" w:right="399" w:hanging="8"/>
        <w:spacing w:after="0" w:line="271" w:lineRule="auto"/>
        <w:tabs>
          <w:tab w:leader="none" w:pos="555"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amendments to the terms of Pacira’s 2026 Corporate Annual Bonus Program and Q4 2026 Incentive Compensation Plans and any determinations made by the Pacira Board (or any authorized committee thereof) thereunder prior to the closing of the Transactions, subject to the terms of the Merger Agreement. For a period of one year following the Effective Time (or, if earlier, the termination date of the applicable Pacira employee), Viatris will provide, or cause to be provided, to each Continuing Employee (i) base salary (or base wages, as the case may</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9" w:name="page50"/>
    <w:bookmarkEnd w:id="4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519"/>
        <w:spacing w:after="0" w:line="270" w:lineRule="auto"/>
        <w:rPr>
          <w:sz w:val="20"/>
          <w:szCs w:val="20"/>
          <w:color w:val="auto"/>
        </w:rPr>
      </w:pPr>
      <w:r>
        <w:rPr>
          <w:rFonts w:ascii="Times New Roman" w:cs="Times New Roman" w:eastAsia="Times New Roman" w:hAnsi="Times New Roman"/>
          <w:sz w:val="17"/>
          <w:szCs w:val="17"/>
          <w:color w:val="auto"/>
        </w:rPr>
        <w:t>be) and short-term cash incentive compensation opportunities (including annual bonuses and commission opportunities, but excluding long-term cash incentive opportunities) that are no less favorable than the base salary (or base wages, as the case may be) and short-term cash incentive compensation opportunities provided to such Continuing Employee by Pacira and its subsidiaries immediately prior to the date of the Merger Agreement and</w:t>
      </w:r>
    </w:p>
    <w:p>
      <w:pPr>
        <w:spacing w:after="0" w:line="3" w:lineRule="exact"/>
        <w:rPr>
          <w:sz w:val="20"/>
          <w:szCs w:val="20"/>
          <w:color w:val="auto"/>
        </w:rPr>
      </w:pPr>
    </w:p>
    <w:p>
      <w:pPr>
        <w:ind w:left="300" w:right="339" w:hanging="8"/>
        <w:spacing w:after="0" w:line="253" w:lineRule="auto"/>
        <w:tabs>
          <w:tab w:leader="none" w:pos="56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employee benefits (including severance benefits and other health and welfare benefits, but excluding any equity or equity-based compensation, nonqualified deferred compensation or change of control, transaction or retention awards) that are substantially comparable in the aggregate to the benefits (including severance benefits and other health and welfare benefits) provided to such Continuing Employee by Pacira and its subsidiaries immediately prior to the date of the Merger Agreement.</w:t>
      </w:r>
    </w:p>
    <w:p>
      <w:pPr>
        <w:spacing w:after="0" w:line="79" w:lineRule="exact"/>
        <w:rPr>
          <w:sz w:val="20"/>
          <w:szCs w:val="20"/>
          <w:color w:val="auto"/>
        </w:rPr>
      </w:pPr>
    </w:p>
    <w:p>
      <w:pPr>
        <w:ind w:left="300" w:right="339" w:firstLine="360"/>
        <w:spacing w:after="0" w:line="256" w:lineRule="auto"/>
        <w:rPr>
          <w:sz w:val="20"/>
          <w:szCs w:val="20"/>
          <w:color w:val="auto"/>
        </w:rPr>
      </w:pPr>
      <w:r>
        <w:rPr>
          <w:rFonts w:ascii="Times New Roman" w:cs="Times New Roman" w:eastAsia="Times New Roman" w:hAnsi="Times New Roman"/>
          <w:sz w:val="18"/>
          <w:szCs w:val="18"/>
          <w:color w:val="auto"/>
        </w:rPr>
        <w:t>With respect to any accrued but unused personal, sick or vacation time to which any Continuing Employee is entitled pursuant to the personal, sick or vacation policies applicable to such Continuing Employee immediately prior to the Effective Time, Viatris will, or will cause the Surviving Corporation to and instruct its affiliates to, as applicable (and without duplication of benefits), assume the liability for such accrued personal, sick or vacation time and allow such Continuing Employee to use such accrued personal, sick or vacation time in accordance with the practice and policies of Pacira.</w:t>
      </w:r>
    </w:p>
    <w:p>
      <w:pPr>
        <w:spacing w:after="0" w:line="77" w:lineRule="exact"/>
        <w:rPr>
          <w:sz w:val="20"/>
          <w:szCs w:val="20"/>
          <w:color w:val="auto"/>
        </w:rPr>
      </w:pPr>
    </w:p>
    <w:p>
      <w:pPr>
        <w:ind w:left="300" w:right="29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Directors’ and Officers’ Indemnification and Insurance</w:t>
      </w:r>
      <w:r>
        <w:rPr>
          <w:rFonts w:ascii="Times New Roman" w:cs="Times New Roman" w:eastAsia="Times New Roman" w:hAnsi="Times New Roman"/>
          <w:sz w:val="18"/>
          <w:szCs w:val="18"/>
          <w:color w:val="auto"/>
        </w:rPr>
        <w:t>. The Merger Agreement provides that all rights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indemnification, advancement of expenses and exculpation by Pacira existing in favor of those persons who are directors and officers of Pacira or any of its subsidiaries as of the date of the Merger Agreement or have been directors and officers of Pacira or any of its subsidiaries in the past (the “Indemnified Persons”) for their acts and omissions occurring prior to the Effective Time, as provided in the certificate of incorporation and bylaws of Pacira (in each case, as in effect as of the date of the Merger Agreement) and as provided in the indemnification agreements between Pacira or any of its subsidiaries and said Indemnified Persons in the forms made available by Pacira to Viatris or Viatris’ representatives prior to the date of the Merger Agreement, will survive the Merger and will not be amended, repealed or otherwise modified in any manner that would adversely affect the rights thereunder of such Indemnified Persons, and Viatris will cause the Surviving Corporation and its successors and assigns to maintain and comply with such rights to the fullest extent available under Delaware law for a period of six (6) years from the Effective Time, and any claim made pursuant to such rights within such six (6)-year period will continue to be subject to such rights until disposition of such claim.</w:t>
      </w:r>
    </w:p>
    <w:p>
      <w:pPr>
        <w:spacing w:after="0" w:line="81"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From and after the Effective Time until the sixth (6th) anniversary of the date on which the Effective Time occurs, the Surviving Corporation (together with its successors and assigns, the “Indemnifying Parties”) will, and Viatris will cause the Surviving Corporation to, to the fullest extent permitted under applicable laws, indemnify and hold harmless each Indemnified Person in his or her capacity as an officer or director of Pacira against all losses, claims, damages, liabilities, fees, expenses, judgments or fines incurred by such Indemnified Person as an officer or director of Pacira in connection with any pending or threatened legal proceeding based on or arising out of, in whole or in part, the fact that such Indemnified Person is or was a director or officer of Pacira at or prior to the Effective Time and pertaining to any and all matters pending, existing or occurring at or prior to the Effective Time, whether asserted or claimed prior to, at or after the Effective Time, including any such matter arising under any claim with respect to the transactions contemplated by the Merger Agreement.</w:t>
      </w:r>
    </w:p>
    <w:p>
      <w:pPr>
        <w:spacing w:after="0" w:line="86" w:lineRule="exact"/>
        <w:rPr>
          <w:sz w:val="20"/>
          <w:szCs w:val="20"/>
          <w:color w:val="auto"/>
        </w:rPr>
      </w:pPr>
    </w:p>
    <w:p>
      <w:pPr>
        <w:ind w:left="300" w:right="339" w:firstLine="360"/>
        <w:spacing w:after="0" w:line="271" w:lineRule="auto"/>
        <w:rPr>
          <w:sz w:val="20"/>
          <w:szCs w:val="20"/>
          <w:color w:val="auto"/>
        </w:rPr>
      </w:pPr>
      <w:r>
        <w:rPr>
          <w:rFonts w:ascii="Times New Roman" w:cs="Times New Roman" w:eastAsia="Times New Roman" w:hAnsi="Times New Roman"/>
          <w:sz w:val="17"/>
          <w:szCs w:val="17"/>
          <w:color w:val="auto"/>
        </w:rPr>
        <w:t>Without limiting the foregoing, from the Effective Time until the sixth (6th) anniversary of the date on which the Effective Time occurs, the Indemnifying Parties will also, to the fullest extent permitted under applicable laws, advance reasonable and documented out-of-pocket costs and expenses (including reasonable and documented attorneys’ fees) incurred by the Indemnified Persons in connection with matters for which such Indemnified Persons are eligible to be indemnified pursuant to the Merger Agreement, subject to the execution by such Indemnified Persons of appropriate undertakings in favor of the Indemnifying Parties to repay such advanced costs and expenses if it is ultimately determined in a final and non-appealable judgment of a court of competent jurisdiction that such Indemnified Person is not entitled to be indemnified under Section 7.4(b) of the Merger Agreement. Viatris will cause the Surviving Corporation to comply with its obligations under Section 7.4(b) of the Merger Agreement.</w:t>
      </w:r>
    </w:p>
    <w:p>
      <w:pPr>
        <w:spacing w:after="0" w:line="65" w:lineRule="exact"/>
        <w:rPr>
          <w:sz w:val="20"/>
          <w:szCs w:val="20"/>
          <w:color w:val="auto"/>
        </w:rPr>
      </w:pPr>
    </w:p>
    <w:p>
      <w:pPr>
        <w:ind w:left="300" w:right="399" w:firstLine="360"/>
        <w:spacing w:after="0" w:line="274" w:lineRule="auto"/>
        <w:rPr>
          <w:sz w:val="20"/>
          <w:szCs w:val="20"/>
          <w:color w:val="auto"/>
        </w:rPr>
      </w:pPr>
      <w:r>
        <w:rPr>
          <w:rFonts w:ascii="Times New Roman" w:cs="Times New Roman" w:eastAsia="Times New Roman" w:hAnsi="Times New Roman"/>
          <w:sz w:val="17"/>
          <w:szCs w:val="17"/>
          <w:color w:val="auto"/>
        </w:rPr>
        <w:t>The Merger Agreement requires that, from the Effective Time until the sixth (6th) anniversary of the Effective Time, the Surviving Corporation maintain, and Viatris cause the Surviving Corporation to maintain, in effect directors’ and officers’ liability insurance providing coverage no less favorable to the insureds than the policy maintained by Pacira as of the date of the Merger Agreement for the benefit of the Indemnified Persons who are currently covered by such existing policy with respect to their acts and omissions occurring prior to the Effective Time in their capacities as directors and officers of Pacira, including terms with respect to coverage, deductibles (or</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0" w:name="page51"/>
    <w:bookmarkEnd w:id="5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79"/>
        <w:spacing w:after="0" w:line="254" w:lineRule="auto"/>
        <w:rPr>
          <w:sz w:val="20"/>
          <w:szCs w:val="20"/>
          <w:color w:val="auto"/>
        </w:rPr>
      </w:pPr>
      <w:r>
        <w:rPr>
          <w:rFonts w:ascii="Times New Roman" w:cs="Times New Roman" w:eastAsia="Times New Roman" w:hAnsi="Times New Roman"/>
          <w:sz w:val="18"/>
          <w:szCs w:val="18"/>
          <w:color w:val="auto"/>
        </w:rPr>
        <w:t>retentions) and amounts no less favorable than the current policy. At or prior to the Effective Time, Pacira will (through a nationally recognized insurance broker approved by Viatris (such approval not to be unreasonably withheld, conditioned or delayed)) purchase a six (6)-year “tail” policy for the existing policy effective as of the Effective Time, which “tail” policy will be deemed to satisfy all obligations to obtain or maintain such insurance, provided that in no event will Pacira be required to expend aggregate premiums in excess of 300% of the annual premium currently payable by Pacira with respect to such current policy (and if the aggregate premiums payable for such insurance coverage exceed such amount, Pacira will obtain a policy with the greatest coverage available for a cost equal to such amount).</w:t>
      </w:r>
    </w:p>
    <w:p>
      <w:pPr>
        <w:spacing w:after="0" w:line="82" w:lineRule="exact"/>
        <w:rPr>
          <w:sz w:val="20"/>
          <w:szCs w:val="20"/>
          <w:color w:val="auto"/>
        </w:rPr>
      </w:pPr>
    </w:p>
    <w:p>
      <w:pPr>
        <w:ind w:left="300" w:right="339" w:firstLine="360"/>
        <w:spacing w:after="0" w:line="270" w:lineRule="auto"/>
        <w:rPr>
          <w:sz w:val="20"/>
          <w:szCs w:val="20"/>
          <w:color w:val="auto"/>
        </w:rPr>
      </w:pPr>
      <w:r>
        <w:rPr>
          <w:rFonts w:ascii="Times New Roman" w:cs="Times New Roman" w:eastAsia="Times New Roman" w:hAnsi="Times New Roman"/>
          <w:sz w:val="17"/>
          <w:szCs w:val="17"/>
          <w:i w:val="1"/>
          <w:iCs w:val="1"/>
          <w:color w:val="auto"/>
        </w:rPr>
        <w:t>Securityholder Litigation</w:t>
      </w:r>
      <w:r>
        <w:rPr>
          <w:rFonts w:ascii="Times New Roman" w:cs="Times New Roman" w:eastAsia="Times New Roman" w:hAnsi="Times New Roman"/>
          <w:sz w:val="17"/>
          <w:szCs w:val="17"/>
          <w:color w:val="auto"/>
        </w:rPr>
        <w:t>. Pacira will promptly notify Viatris of any legal proceeding commenced against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Pacira or any of its subsidiaries or their respective directors or officers relating to the transactions contemplated by the Merger Agreement. Pacira will give Viatris (a) the opportunity to participate (at Viatris’s expense) in the defense of such legal proceeding, (b) the right to review and comment on all material filings or responses to be made by Pacira in connection with such legal proceeding, and (c) the right to consult on any proposed settlement with respect to such legal proceeding, and Pacira will in good faith take such comments and consultation into account. No such settlement will be agreed to without Viatris’s prior written consent (such consent not to be unreasonably withheld, conditioned or delayed) and none of Pacira or its subsidiaries will waive, release or assign any material claims or rights in connection with any such legal proceeding. Pacira will keep Viatris reasonably informed on a prompt and timely basis with respect to the status of and developments with respect to any such legal proceeding.</w:t>
      </w:r>
    </w:p>
    <w:p>
      <w:pPr>
        <w:spacing w:after="0" w:line="69" w:lineRule="exact"/>
        <w:rPr>
          <w:sz w:val="20"/>
          <w:szCs w:val="20"/>
          <w:color w:val="auto"/>
        </w:rPr>
      </w:pPr>
    </w:p>
    <w:p>
      <w:pPr>
        <w:ind w:left="300" w:right="419"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Takeover Laws. </w:t>
      </w:r>
      <w:r>
        <w:rPr>
          <w:rFonts w:ascii="Times New Roman" w:cs="Times New Roman" w:eastAsia="Times New Roman" w:hAnsi="Times New Roman"/>
          <w:sz w:val="18"/>
          <w:szCs w:val="18"/>
          <w:color w:val="auto"/>
        </w:rPr>
        <w:t>If any “moratorium”, “control share acquisition”, “fair price”, “supermajority”, “affiliate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transactions” or “business combination statute or regulation” or other similar state anti-takeover laws (each, a “Takeover Law”) may become, or may purport to be, applicable to the Offer, the Merger or any of the other transactions contemplated by the Merger Agreement, each of Viatris and Pacira and their respective boards of directors have agreed to grant such approvals and take such actions as are necessary so that the Offer, the Merger and the other transactions contemplated by the Merger Agreement may be consummated as promptly as practicable on the terms and conditions contemplated by the Merger Agreement and otherwise act to lawfully eliminate the effect of any Takeover Law on any of the Offer, the Merger or the other transactions contemplated by the Merger Agreement.</w:t>
      </w:r>
    </w:p>
    <w:p>
      <w:pPr>
        <w:spacing w:after="0" w:line="80" w:lineRule="exact"/>
        <w:rPr>
          <w:sz w:val="20"/>
          <w:szCs w:val="20"/>
          <w:color w:val="auto"/>
        </w:rPr>
      </w:pPr>
    </w:p>
    <w:p>
      <w:pPr>
        <w:ind w:left="300" w:right="319" w:firstLine="360"/>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Section 16 Matters. </w:t>
      </w:r>
      <w:r>
        <w:rPr>
          <w:rFonts w:ascii="Times New Roman" w:cs="Times New Roman" w:eastAsia="Times New Roman" w:hAnsi="Times New Roman"/>
          <w:sz w:val="17"/>
          <w:szCs w:val="17"/>
          <w:color w:val="auto"/>
        </w:rPr>
        <w:t>Pacira and the Pacira Board will, to the extent necessary, take appropriate action, prior to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as of the Offer Acceptance Time, to approve, for the purposes of Section 16(b) of the Exchange Act, the disposition and cancellation (or deemed disposition and cancellation) of the Shares and Pacira Options, Pacira RSUs and Pacira PSUs in the transactions contemplated by the Merger Agreement by applicable Section 16 individuals and to cause such dispositions or cancellations to be exempt under Rule 16b-3 promulgated under the Exchange Act.</w:t>
      </w:r>
    </w:p>
    <w:p>
      <w:pPr>
        <w:spacing w:after="0" w:line="60" w:lineRule="exact"/>
        <w:rPr>
          <w:sz w:val="20"/>
          <w:szCs w:val="20"/>
          <w:color w:val="auto"/>
        </w:rPr>
      </w:pPr>
    </w:p>
    <w:p>
      <w:pPr>
        <w:ind w:left="300" w:right="359" w:firstLine="360"/>
        <w:spacing w:after="0" w:line="255" w:lineRule="auto"/>
        <w:rPr>
          <w:sz w:val="20"/>
          <w:szCs w:val="20"/>
          <w:color w:val="auto"/>
        </w:rPr>
      </w:pPr>
      <w:r>
        <w:rPr>
          <w:rFonts w:ascii="Times New Roman" w:cs="Times New Roman" w:eastAsia="Times New Roman" w:hAnsi="Times New Roman"/>
          <w:sz w:val="18"/>
          <w:szCs w:val="18"/>
          <w:i w:val="1"/>
          <w:iCs w:val="1"/>
          <w:color w:val="auto"/>
        </w:rPr>
        <w:t>Rule 14d-10 Matters</w:t>
      </w:r>
      <w:r>
        <w:rPr>
          <w:rFonts w:ascii="Times New Roman" w:cs="Times New Roman" w:eastAsia="Times New Roman" w:hAnsi="Times New Roman"/>
          <w:sz w:val="18"/>
          <w:szCs w:val="18"/>
          <w:color w:val="auto"/>
        </w:rPr>
        <w:t>. Prior to the Offer Acceptance Time and to the extent permitted by applicable laws,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committee of the Pacira Board will approve, as an “employment compensation, severance or other employee benefit arrangement” within the meaning of Rule 14d-10(d)(2) under the Exchange Act, each agreement, arrangement or understanding between Pacira or any of its affiliates and any of the officers, directors or employees of Pacira that are effective as of the date of the Merger Agreement or are entered into after the date of the Merger Agreement and prior to the Offer Acceptance Time pursuant to which compensation is paid to such officer, director or employee and will take all other action reasonably necessary to satisfy the requirements of the non-exclusive safe harbor set forth in Rule 14d-10(d)(2) under the Exchange Act.</w:t>
      </w:r>
    </w:p>
    <w:p>
      <w:pPr>
        <w:spacing w:after="0" w:line="77" w:lineRule="exact"/>
        <w:rPr>
          <w:sz w:val="20"/>
          <w:szCs w:val="20"/>
          <w:color w:val="auto"/>
        </w:rPr>
      </w:pPr>
    </w:p>
    <w:p>
      <w:pPr>
        <w:ind w:left="300" w:right="49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Stock Exchange Delisting and Deregistration. </w:t>
      </w:r>
      <w:r>
        <w:rPr>
          <w:rFonts w:ascii="Times New Roman" w:cs="Times New Roman" w:eastAsia="Times New Roman" w:hAnsi="Times New Roman"/>
          <w:sz w:val="18"/>
          <w:szCs w:val="18"/>
          <w:color w:val="auto"/>
        </w:rPr>
        <w:t>Prior to the Closing Date, Pacira has agreed to cooperate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Viatris and to use its reasonable best efforts to take, or cause to be taken, all actions, and do or cause to be done all things, reasonably necessary, proper or advisable on its part under applicable laws and rules and policies of the Nasdaq Global Select Market to enable the delisting by the Surviving Corporation of the Shares from the Nasdaq Global Select Market and the deregistration of the Shares under the Exchange Act as promptly as practicable after the Effective Time.</w:t>
      </w:r>
    </w:p>
    <w:p>
      <w:pPr>
        <w:spacing w:after="0" w:line="74" w:lineRule="exact"/>
        <w:rPr>
          <w:sz w:val="20"/>
          <w:szCs w:val="20"/>
          <w:color w:val="auto"/>
        </w:rPr>
      </w:pPr>
    </w:p>
    <w:p>
      <w:pPr>
        <w:ind w:left="300" w:right="41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Payoff Letters</w:t>
      </w:r>
      <w:r>
        <w:rPr>
          <w:rFonts w:ascii="Times New Roman" w:cs="Times New Roman" w:eastAsia="Times New Roman" w:hAnsi="Times New Roman"/>
          <w:sz w:val="18"/>
          <w:szCs w:val="18"/>
          <w:color w:val="auto"/>
        </w:rPr>
        <w:t>. Pacira has agreed to, and to cause its representatives to, use reasonable best efforts to deliver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Viatris, at least three (3) Business Days prior to the Closing Date, executed customary payoff letters from each holder of indebtedness set forth in the confidential disclosure schedule of Pacira with respect to the Merger Agreement, each of which will (i) set forth the amount required to pay in full the applicable indebtedness as of the closing of the Merger (collectively, the “Payoff Amounts”) and (ii) provide that, upon payment in full of the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1" w:name="page52"/>
    <w:bookmarkEnd w:id="5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439"/>
        <w:spacing w:after="0" w:line="266" w:lineRule="auto"/>
        <w:rPr>
          <w:sz w:val="20"/>
          <w:szCs w:val="20"/>
          <w:color w:val="auto"/>
        </w:rPr>
      </w:pPr>
      <w:r>
        <w:rPr>
          <w:rFonts w:ascii="Times New Roman" w:cs="Times New Roman" w:eastAsia="Times New Roman" w:hAnsi="Times New Roman"/>
          <w:sz w:val="18"/>
          <w:szCs w:val="18"/>
          <w:color w:val="auto"/>
        </w:rPr>
        <w:t>applicable Payoff Amount, all encumbrances securing such indebtedness with respect to the assets of Pacira and its subsidiaries will be terminated and of no further force and effect. Viatris has agreed to pay, or to cause one or more of its subsidiaries to pay, the Payoff Amounts in full on behalf of Pacira on the Closing Date.</w:t>
      </w:r>
    </w:p>
    <w:p>
      <w:pPr>
        <w:spacing w:after="0" w:line="66"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Convertible Notes</w:t>
      </w:r>
      <w:r>
        <w:rPr>
          <w:rFonts w:ascii="Times New Roman" w:cs="Times New Roman" w:eastAsia="Times New Roman" w:hAnsi="Times New Roman"/>
          <w:sz w:val="18"/>
          <w:szCs w:val="18"/>
          <w:color w:val="auto"/>
        </w:rPr>
        <w:t>. Within the time periods required by the terms of the Indenture, Pacira has agreed to take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actions required by, or reasonably requested by Viatris pursuant to, the Indenture and applicable law to be performed by Pacira at or prior to the Effective Time as a result of the execution and delivery of the Merger Agreement or the consummation of the transactions contemplated thereby, including the giving of any notices that may be required or reasonably requested by Viatris and the delivery to the trustee, noteholders or other applicable persons of any documents or instruments required or reasonably requested by Viatris to be delivered at or prior to the Effective Time to such trustee, noteholders or other applicable persons, in each case in connection with the execution and delivery of the Merger Agreement, the transactions contemplated thereby or as otherwise required by, or reasonably requested by Viatris pursuant to, the Indenture. Pacira has agreed to provide Viatris and its legal counsel with a reasonable opportunity to review and comment on any such documents or instruments prior to their delivery to the trustee, noteholders or other applicable persons, as applicable, and to consider in good faith any comments provided by Viatris and its legal counsel.</w:t>
      </w:r>
    </w:p>
    <w:p>
      <w:pPr>
        <w:spacing w:after="0" w:line="82" w:lineRule="exact"/>
        <w:rPr>
          <w:sz w:val="20"/>
          <w:szCs w:val="20"/>
          <w:color w:val="auto"/>
        </w:rPr>
      </w:pPr>
    </w:p>
    <w:p>
      <w:pPr>
        <w:ind w:left="300" w:right="299" w:firstLine="360"/>
        <w:spacing w:after="0" w:line="268" w:lineRule="auto"/>
        <w:rPr>
          <w:sz w:val="20"/>
          <w:szCs w:val="20"/>
          <w:color w:val="auto"/>
        </w:rPr>
      </w:pPr>
      <w:r>
        <w:rPr>
          <w:rFonts w:ascii="Times New Roman" w:cs="Times New Roman" w:eastAsia="Times New Roman" w:hAnsi="Times New Roman"/>
          <w:sz w:val="17"/>
          <w:szCs w:val="17"/>
          <w:i w:val="1"/>
          <w:iCs w:val="1"/>
          <w:color w:val="auto"/>
        </w:rPr>
        <w:t>Capped Call Transactions</w:t>
      </w:r>
      <w:r>
        <w:rPr>
          <w:rFonts w:ascii="Times New Roman" w:cs="Times New Roman" w:eastAsia="Times New Roman" w:hAnsi="Times New Roman"/>
          <w:sz w:val="17"/>
          <w:szCs w:val="17"/>
          <w:color w:val="auto"/>
        </w:rPr>
        <w:t>. Pacira has agreed to use reasonable best efforts to cooperate with Viatris in seeking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to enter into arrangements with the counterparties to the Capped Call Transactions to cause the Capped Call Transactions to be exercised, settled, canceled or otherwise terminated as of the Effective Time, to enter into any documentation required to effect the foregoing and to promptly provide Viatris with copies of any notices or other written communications received from such counterparties with respect to the Capped Call Transactions, keep Viatris reasonably informed of all related discussions and negotiations, provide Viatris and its legal counsel with a reasonable opportunity to participate in such discussions and negotiations and to review and comment on any proposed written response to any such notice or other document, and promptly respond to any reasonable questions from and reflect any reasonable comments provided by Viatris or its legal counsel prior to delivering any such response. Without the prior written consent of Viatris (which consent shall not be unreasonably withheld, conditioned or delayed), Pacira may not, and will cause its representatives not to, (i) amend, modify or otherwise change the terms of the documentation governing the Capped Call Transactions or (ii) exercise any right, or enter into any agreement, to terminate or trigger an early settlement of any Capped Call Transaction, including with respect to the form of consideration payable in connection with any such early settlement. However, Pacira is not required to (A) other than as required under the Capped Call Transactions, pay any fees, incur or reimburse any costs or expenses or make any payment in connection with the Capped Call Transactions prior to the Effective Time,</w:t>
      </w:r>
    </w:p>
    <w:p>
      <w:pPr>
        <w:spacing w:after="0" w:line="202" w:lineRule="exact"/>
        <w:rPr>
          <w:sz w:val="20"/>
          <w:szCs w:val="20"/>
          <w:color w:val="auto"/>
        </w:rPr>
      </w:pPr>
    </w:p>
    <w:p>
      <w:pPr>
        <w:ind w:left="300" w:right="619" w:hanging="8"/>
        <w:spacing w:after="0" w:line="255" w:lineRule="auto"/>
        <w:tabs>
          <w:tab w:leader="none" w:pos="58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instrument or agreement, or effect any settlement or termination, that is effective prior to the Effective Time or (C) refrain from delivering, or delay the delivery of, any notice required by the documentation governing the Capped Call Transactions.</w:t>
      </w:r>
    </w:p>
    <w:p>
      <w:pPr>
        <w:spacing w:after="0" w:line="76" w:lineRule="exact"/>
        <w:rPr>
          <w:sz w:val="20"/>
          <w:szCs w:val="20"/>
          <w:color w:val="auto"/>
        </w:rPr>
      </w:pPr>
    </w:p>
    <w:p>
      <w:pPr>
        <w:ind w:left="300" w:right="37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Maintenance of Audit Access</w:t>
      </w:r>
      <w:r>
        <w:rPr>
          <w:rFonts w:ascii="Times New Roman" w:cs="Times New Roman" w:eastAsia="Times New Roman" w:hAnsi="Times New Roman"/>
          <w:sz w:val="18"/>
          <w:szCs w:val="18"/>
          <w:color w:val="auto"/>
        </w:rPr>
        <w:t>. Throughout the term of the Contingent Value Rights Agreement, dated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November 19, 2021, by and between Pacira and American Stock Transfer &amp; Trust Company, LLC (the “Flexion CVR Agreement”), Viatris has agreed to, and to cause its subsidiaries to, comply with the terms of Section 4.5(a) of the Flexion CVR Agreement, including by permitting the Independent Accountant (as defined therein) access to certain books and records in accordance with Section 4.5(a) of the Flexion CVR Agreement.</w:t>
      </w:r>
    </w:p>
    <w:p>
      <w:pPr>
        <w:spacing w:after="0" w:line="75" w:lineRule="exact"/>
        <w:rPr>
          <w:sz w:val="20"/>
          <w:szCs w:val="20"/>
          <w:color w:val="auto"/>
        </w:rPr>
      </w:pPr>
    </w:p>
    <w:p>
      <w:pPr>
        <w:ind w:left="300" w:right="35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Additional Covenants</w:t>
      </w:r>
      <w:r>
        <w:rPr>
          <w:rFonts w:ascii="Times New Roman" w:cs="Times New Roman" w:eastAsia="Times New Roman" w:hAnsi="Times New Roman"/>
          <w:sz w:val="18"/>
          <w:szCs w:val="18"/>
          <w:color w:val="auto"/>
        </w:rPr>
        <w:t>. During the Pre-Closing Period, Pacira has agreed, to the extent permissible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laws (including antitrust laws), to (i) use reasonable best efforts to initiate discussions with the counterparties to certain specified contracts regarding potential renewals or extensions of such contracts and enter into such renewals or extensions, and reasonably consult with Viatris regarding such discussions and keep Viatris reasonably informed of the status thereof, (ii) use reasonable best efforts to make available to Viatris and its representatives, promptly after receipt, accurate and complete copies of all clinical and preclinical data relating to any Company Product not previously made available to Viatris and all written correspondence with the applicable governmental bodies relating to any Company Product, subject to customary exceptions, and (iii) consult in good faith with Viatris in advance of any announcement or other public communication regarding any clinical or preclinical trial data relating to any Company Product, and consider in good faith any comments provided by Viatris with respect thereto.</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2" w:name="page53"/>
    <w:bookmarkEnd w:id="5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p>
      <w:pPr>
        <w:ind w:left="300" w:right="73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Termination</w:t>
      </w:r>
      <w:r>
        <w:rPr>
          <w:rFonts w:ascii="Times New Roman" w:cs="Times New Roman" w:eastAsia="Times New Roman" w:hAnsi="Times New Roman"/>
          <w:sz w:val="18"/>
          <w:szCs w:val="18"/>
          <w:color w:val="auto"/>
        </w:rPr>
        <w:t>. The Merger Agreement may be terminated, and the transactions contemplated by the Merger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may be abandoned, under any of the following circumstances:</w:t>
      </w:r>
    </w:p>
    <w:p>
      <w:pPr>
        <w:spacing w:after="0" w:line="52" w:lineRule="exact"/>
        <w:rPr>
          <w:sz w:val="20"/>
          <w:szCs w:val="20"/>
          <w:color w:val="auto"/>
        </w:rPr>
      </w:pPr>
    </w:p>
    <w:p>
      <w:pPr>
        <w:ind w:left="1000" w:hanging="348"/>
        <w:spacing w:after="0"/>
        <w:tabs>
          <w:tab w:leader="none" w:pos="10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mutual written consent of Viatris and Pacira at any time prior to the Offer Acceptance Time;</w:t>
      </w:r>
    </w:p>
    <w:p>
      <w:pPr>
        <w:spacing w:after="0" w:line="117" w:lineRule="exact"/>
        <w:rPr>
          <w:rFonts w:ascii="Times New Roman" w:cs="Times New Roman" w:eastAsia="Times New Roman" w:hAnsi="Times New Roman"/>
          <w:sz w:val="18"/>
          <w:szCs w:val="18"/>
          <w:color w:val="auto"/>
        </w:rPr>
      </w:pPr>
    </w:p>
    <w:p>
      <w:pPr>
        <w:ind w:left="1000" w:right="379" w:hanging="348"/>
        <w:spacing w:after="0" w:line="253" w:lineRule="auto"/>
        <w:tabs>
          <w:tab w:leader="none" w:pos="10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Viatris or Pacira if the Offer Acceptance Time has not occurred on or before midnight, Eastern Time, on April 8, 2027 (such date and time, as may be automatically extended as described in this clause, the “End Date”), provided that, if on April 8, 2027 all of the Offer Conditions, other than (A) the Regulatory Condition, (B) the Non-Prohibition Condition (solely to the extent the applicable Legal Restraint arises under antitrust law), (C) the Legal Restraint Condition and (D) those conditions that by their nature are to be satisfied at the time that the Offer expires (provided that such conditions would then be capable of being satisfied if the Offer Acceptance Time were to take place on such date), have been satisfied or waived by Viatris, then the End Date will automatically be extended until July 8, 2027 (except that neither Viatris nor Pacira may terminate the Merger Agreement pursuant to this clause in the event that such party’s material breach of any provision of the Merger Agreement has been the cause of, or resulted in, the Offer Acceptance Time not occurring on or prior to the End Date) (we refer to any termination of the Merger Agreement pursuant to this clause as an “End Date Termination”);</w:t>
      </w:r>
    </w:p>
    <w:p>
      <w:pPr>
        <w:spacing w:after="0" w:line="81" w:lineRule="exact"/>
        <w:rPr>
          <w:rFonts w:ascii="Times New Roman" w:cs="Times New Roman" w:eastAsia="Times New Roman" w:hAnsi="Times New Roman"/>
          <w:sz w:val="18"/>
          <w:szCs w:val="18"/>
          <w:color w:val="auto"/>
        </w:rPr>
      </w:pPr>
    </w:p>
    <w:p>
      <w:pPr>
        <w:ind w:left="1000" w:right="419" w:hanging="348"/>
        <w:spacing w:after="0" w:line="255" w:lineRule="auto"/>
        <w:tabs>
          <w:tab w:leader="none" w:pos="10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Viatris or Pacira if a court of competent jurisdiction or other governmental body has issued an Order having the effect of permanently restraining, enjoining or otherwise prohibiting the acceptance for payment of Shares pursuant to the Offer or the Merger or making consummation of the Offer or the Merger illegal and such Order has become final and nonappealable (except that neither Viatris nor Pacira, as applicable, may terminate the Merger Agreement pursuant to this clause in the event that such party’s material breach of any provision of the Merger Agreement has caused or resulted in the issuance of such final and nonappealable Order);</w:t>
      </w:r>
    </w:p>
    <w:p>
      <w:pPr>
        <w:spacing w:after="0" w:line="80" w:lineRule="exact"/>
        <w:rPr>
          <w:rFonts w:ascii="Times New Roman" w:cs="Times New Roman" w:eastAsia="Times New Roman" w:hAnsi="Times New Roman"/>
          <w:sz w:val="18"/>
          <w:szCs w:val="18"/>
          <w:color w:val="auto"/>
        </w:rPr>
      </w:pPr>
    </w:p>
    <w:p>
      <w:pPr>
        <w:ind w:left="1000" w:right="419" w:hanging="348"/>
        <w:spacing w:after="0" w:line="266" w:lineRule="auto"/>
        <w:tabs>
          <w:tab w:leader="none" w:pos="10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Viatris, at any time prior to the Offer Acceptance Time, if the Pacira Board has effected a Pacira Adverse Change Recommendation (we refer to any termination of the Merger Agreement pursuant to this clause as a “Change in Recommendation Termination”);</w:t>
      </w:r>
    </w:p>
    <w:p>
      <w:pPr>
        <w:spacing w:after="0" w:line="67" w:lineRule="exact"/>
        <w:rPr>
          <w:rFonts w:ascii="Times New Roman" w:cs="Times New Roman" w:eastAsia="Times New Roman" w:hAnsi="Times New Roman"/>
          <w:sz w:val="18"/>
          <w:szCs w:val="18"/>
          <w:color w:val="auto"/>
        </w:rPr>
      </w:pPr>
    </w:p>
    <w:p>
      <w:pPr>
        <w:ind w:left="1000" w:right="319" w:hanging="348"/>
        <w:spacing w:after="0" w:line="254" w:lineRule="auto"/>
        <w:tabs>
          <w:tab w:leader="none" w:pos="10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Viatris, at any time prior to the Offer Acceptance Time, if a breach of any representation or warranty made by Pacira and contained in the Merger Agreement or failure to perform any covenant or obligation in the Merger Agreement on the part of Pacira has occurred such that the Representations Condition or the Covenants Condition would not be satisfied and cannot be cured by Pacira by the End Date, or if capable of being cured, has not been cured within thirty (30) days of the date on which Viatris gives Pacira written notice of such breach or failure to perform (except that Viatris will not be permitted to terminate the Merger Agreement pursuant to this clause if either Viatris or Purchaser is then in material breach of any representation, warranty, covenant or obligation in the Merger Agreement) (we refer to any termination of the Merger Agreement pursuant to this clause as a “Pacira Breach Termination”);</w:t>
      </w:r>
    </w:p>
    <w:p>
      <w:pPr>
        <w:spacing w:after="0" w:line="80" w:lineRule="exact"/>
        <w:rPr>
          <w:rFonts w:ascii="Times New Roman" w:cs="Times New Roman" w:eastAsia="Times New Roman" w:hAnsi="Times New Roman"/>
          <w:sz w:val="18"/>
          <w:szCs w:val="18"/>
          <w:color w:val="auto"/>
        </w:rPr>
      </w:pPr>
    </w:p>
    <w:p>
      <w:pPr>
        <w:ind w:left="1000" w:right="359" w:hanging="348"/>
        <w:spacing w:after="0" w:line="254" w:lineRule="auto"/>
        <w:tabs>
          <w:tab w:leader="none" w:pos="10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Pacira, at any time prior to the Offer Acceptance Time, in order to accept a Superior Offer and enter into a binding written definitive acquisition agreement providing for the consummation of a transaction constituting a Superior Offer (a “Specified Agreement”), if Pacira has complied in all material respects with the notice, negotiation and other requirements described above with respect to a Superior Offer under subsection “—Change of the Pacira Board Recommendation” and Pacira, prior to or concurrently with such termination, pays to Viatris the Termination Fee (see subsection “—Pacira Termination Fee”) (we refer to any termination of the Merger Agreement pursuant to this clause as a “Superior Offer Termination”);</w:t>
      </w:r>
    </w:p>
    <w:p>
      <w:pPr>
        <w:spacing w:after="0" w:line="83" w:lineRule="exact"/>
        <w:rPr>
          <w:rFonts w:ascii="Times New Roman" w:cs="Times New Roman" w:eastAsia="Times New Roman" w:hAnsi="Times New Roman"/>
          <w:sz w:val="18"/>
          <w:szCs w:val="18"/>
          <w:color w:val="auto"/>
        </w:rPr>
      </w:pPr>
    </w:p>
    <w:p>
      <w:pPr>
        <w:ind w:left="1000" w:right="499" w:hanging="348"/>
        <w:spacing w:after="0" w:line="273" w:lineRule="auto"/>
        <w:tabs>
          <w:tab w:leader="none" w:pos="100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Pacira, at any time prior to the Offer Acceptance Time, if a breach of any representation or warranty made by Viatris or Purchaser and contained in the Merger Agreement or failure to perform any covenant or obligation in the Merger Agreement on the part of Viatris or Purchaser has occurred, in each case if such breach or failure would reasonably be expected to prevent Viatris or Purchaser from consummating the transactions contemplated by the Merger Agreement and such breach or failure cannot be cured by Viatris or Purchaser, as applicable, by the End Date, or if capable of being cured, has not been cured within thirty (30) days of the date Pacira gives Viatris written notice of such breach or failure to perform</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3" w:name="page54"/>
    <w:bookmarkEnd w:id="5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20" w:right="639"/>
        <w:spacing w:after="0" w:line="261" w:lineRule="auto"/>
        <w:rPr>
          <w:sz w:val="20"/>
          <w:szCs w:val="20"/>
          <w:color w:val="auto"/>
        </w:rPr>
      </w:pPr>
      <w:r>
        <w:rPr>
          <w:rFonts w:ascii="Times New Roman" w:cs="Times New Roman" w:eastAsia="Times New Roman" w:hAnsi="Times New Roman"/>
          <w:sz w:val="18"/>
          <w:szCs w:val="18"/>
          <w:color w:val="auto"/>
        </w:rPr>
        <w:t>(except that Pacira will not be permitted to terminate the Merger Agreement pursuant to this clause if Pacira is then in material breach of any representation, warranty, covenant or obligation in the Merger Agreement) (we refer to any termination of the Merger Agreement pursuant to this clause as a “Viatris Breach Termination”); or</w:t>
      </w:r>
    </w:p>
    <w:p>
      <w:pPr>
        <w:spacing w:after="0" w:line="72" w:lineRule="exact"/>
        <w:rPr>
          <w:sz w:val="20"/>
          <w:szCs w:val="20"/>
          <w:color w:val="auto"/>
        </w:rPr>
      </w:pPr>
    </w:p>
    <w:p>
      <w:pPr>
        <w:ind w:left="1000" w:right="339" w:hanging="348"/>
        <w:spacing w:after="0" w:line="256" w:lineRule="auto"/>
        <w:tabs>
          <w:tab w:leader="none" w:pos="10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Pacira, at any time prior to the Offer Acceptance Time, in the event that (i) Purchaser has failed to commence (within the meaning of Rule 14d-2 under the Exchange Act) the Offer by October 30, 2026 or (ii) Purchaser has failed to purchase all Shares validly tendered (and not validly withdrawn) when required to do so in accordance with the terms of the Merger Agreement (except that Pacira will not be permitted to terminate the Merger Agreement pursuant to this clause in the event that Purchaser’s failure to commence the Offer is primarily due to Pacira’s material breach of the Merger Agreement).</w:t>
      </w:r>
    </w:p>
    <w:p>
      <w:pPr>
        <w:spacing w:after="0" w:line="77" w:lineRule="exact"/>
        <w:rPr>
          <w:sz w:val="20"/>
          <w:szCs w:val="20"/>
          <w:color w:val="auto"/>
        </w:rPr>
      </w:pPr>
    </w:p>
    <w:p>
      <w:pPr>
        <w:ind w:left="300" w:right="399"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Effect of Termination</w:t>
      </w:r>
      <w:r>
        <w:rPr>
          <w:rFonts w:ascii="Times New Roman" w:cs="Times New Roman" w:eastAsia="Times New Roman" w:hAnsi="Times New Roman"/>
          <w:sz w:val="18"/>
          <w:szCs w:val="18"/>
          <w:color w:val="auto"/>
        </w:rPr>
        <w:t>. If the Merger Agreement is terminated as described above under subsection “—</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Termination,” the Merger Agreement will be of no further force or effect and there will be no liability on the part of Viatris, Purchaser or Pacira or their respective directors, officers and affiliates following any such termination, except that (i) certain specified provisions of the Merger Agreement (including the provisions described in subsection “—Pacira Termination Fee” below) will survive such termination, (ii) the Confidentiality Agreement (as defined below) will survive such termination in accordance with its terms and (iii) no such termination will relieve any party from any claim, liability or damages to the other in respect of any fraud or Willful Breach (as defined in the Merger Agreement) of the Merger Agreement prior to such termination. Nothing will limit or prevent any party from exercising any rights or remedies it may have to specific performance (as described below under subsection “—Specific Performance”) in lieu of terminating the Merger Agreement.</w:t>
      </w:r>
    </w:p>
    <w:p>
      <w:pPr>
        <w:spacing w:after="0" w:line="77" w:lineRule="exact"/>
        <w:rPr>
          <w:sz w:val="20"/>
          <w:szCs w:val="20"/>
          <w:color w:val="auto"/>
        </w:rPr>
      </w:pPr>
    </w:p>
    <w:p>
      <w:pPr>
        <w:ind w:left="300" w:right="99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Pacira Termination Fee</w:t>
      </w:r>
      <w:r>
        <w:rPr>
          <w:rFonts w:ascii="Times New Roman" w:cs="Times New Roman" w:eastAsia="Times New Roman" w:hAnsi="Times New Roman"/>
          <w:sz w:val="18"/>
          <w:szCs w:val="18"/>
          <w:color w:val="auto"/>
        </w:rPr>
        <w:t>. Pacira has agreed to pay Viatris a termination fee of $62,000,000 in cash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“Termination Fee”) in any of the following circumstances:</w:t>
      </w:r>
    </w:p>
    <w:p>
      <w:pPr>
        <w:spacing w:after="0" w:line="52" w:lineRule="exact"/>
        <w:rPr>
          <w:sz w:val="20"/>
          <w:szCs w:val="20"/>
          <w:color w:val="auto"/>
        </w:rPr>
      </w:pPr>
    </w:p>
    <w:p>
      <w:pPr>
        <w:ind w:left="1000" w:hanging="348"/>
        <w:spacing w:after="0"/>
        <w:tabs>
          <w:tab w:leader="none" w:pos="10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Agreement is terminated by Pacira pursuant to a Superior Offer Termination;</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Agreement is terminated by Viatris pursuant to a Change in Recommendation Termination; or</w:t>
      </w:r>
    </w:p>
    <w:p>
      <w:pPr>
        <w:spacing w:after="0" w:line="117" w:lineRule="exact"/>
        <w:rPr>
          <w:rFonts w:ascii="Times New Roman" w:cs="Times New Roman" w:eastAsia="Times New Roman" w:hAnsi="Times New Roman"/>
          <w:sz w:val="18"/>
          <w:szCs w:val="18"/>
          <w:color w:val="auto"/>
        </w:rPr>
      </w:pPr>
    </w:p>
    <w:p>
      <w:pPr>
        <w:ind w:left="1000" w:right="379" w:hanging="348"/>
        <w:spacing w:after="0" w:line="253" w:lineRule="auto"/>
        <w:tabs>
          <w:tab w:leader="none" w:pos="10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Merger Agreement is terminated pursuant to an End Date Termination; (ii) after the date of the Merger Agreement and prior to such termination, there has been made known, proposed or communicated to the Pacira Board, or publicly disclosed, an Acquisition Proposal and such Acquisition Proposal has not been withdrawn (or, if such Acquisition Proposal was publicly disclosed, publicly withdrawn) prior to the time of the termination of the Merger Agreement; and (iii) within twelve (12) months of such termination, Pacira has either (1) consummated any Acquisition Proposal or (2) entered into any definitive agreement in respect of any Acquisition Proposal (which Acquisition Proposal is subsequently consummated, whether during or following such twelve (12)-month period) (except that for purposes of clause (iii), the references to “20%” and “80%” in the definition of “Acquisition Proposal” described above under subsection “—No Solicitation” will be deemed to be references to “50%”).</w:t>
      </w:r>
    </w:p>
    <w:p>
      <w:pPr>
        <w:spacing w:after="0" w:line="86" w:lineRule="exact"/>
        <w:rPr>
          <w:sz w:val="20"/>
          <w:szCs w:val="20"/>
          <w:color w:val="auto"/>
        </w:rPr>
      </w:pPr>
    </w:p>
    <w:p>
      <w:pPr>
        <w:ind w:left="300" w:right="319" w:firstLine="360"/>
        <w:spacing w:after="0" w:line="268" w:lineRule="auto"/>
        <w:rPr>
          <w:sz w:val="20"/>
          <w:szCs w:val="20"/>
          <w:color w:val="auto"/>
        </w:rPr>
      </w:pPr>
      <w:r>
        <w:rPr>
          <w:rFonts w:ascii="Times New Roman" w:cs="Times New Roman" w:eastAsia="Times New Roman" w:hAnsi="Times New Roman"/>
          <w:sz w:val="17"/>
          <w:szCs w:val="17"/>
          <w:color w:val="auto"/>
        </w:rPr>
        <w:t>In no event will Pacira be required to pay the Termination Fee on more than one occasion. Viatris’ right to receive payment of the Termination Fee from Pacira will be the sole and exclusive remedy of Viatris, Purchaser and their respective affiliates and representatives against Pacira, its subsidiaries and any of their respective former, current or future officers, directors, partners, stockholders, optionholders, managers, members, affiliates or representatives (collectively, “Pacira Related Parties”) in any circumstance in which the Termination Fee becomes due and payable and is paid to Viatris, and upon payment in full of such amount, none of the Pacira Related Parties will have any further liability or obligation relating to, arising out of, or in connection with, the Merger Agreement or the transactions contemplated thereby (except that such payment will not limit the rights of Viatris or Purchaser to specific performance or in the case of fraud or Willful Breach). If Pacira fails to timely pay the Termination Fee and, in order to obtain the payment, Viatris commences a legal proceeding which results in a judgment against Pacira, Pacira will pay Viatris its reasonable and documented costs and expenses (including reasonable and documented attorneys’ fees) in connection with such legal proceeding, together with interest on such amount at a rate equal to the sum of (i) the prime rate as published in the Wall Street Journal on the date such payment was required to be made and (ii) two (2) percent, with such interest accruing on such amount from the date such payment was required to be made through the date such payment was actually received by Viatris or its designee. Viatris or Purchaser may seek</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4" w:name="page55"/>
    <w:bookmarkEnd w:id="5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spacing w:after="0" w:line="261" w:lineRule="auto"/>
        <w:rPr>
          <w:sz w:val="20"/>
          <w:szCs w:val="20"/>
          <w:color w:val="auto"/>
        </w:rPr>
      </w:pPr>
      <w:r>
        <w:rPr>
          <w:rFonts w:ascii="Times New Roman" w:cs="Times New Roman" w:eastAsia="Times New Roman" w:hAnsi="Times New Roman"/>
          <w:sz w:val="18"/>
          <w:szCs w:val="18"/>
          <w:color w:val="auto"/>
        </w:rPr>
        <w:t>specific performance to cause Pacira to consummate the transactions contemplated by the Merger Agreement or the payment of the Termination Fee, but in no event will Viatris or Purchaser be entitled to both (i) equitable relief ordering Pacira to consummate the transactions contemplated by the Merger Agreement in accordance therewith and (ii) the payment of the Termination Fee.</w:t>
      </w:r>
    </w:p>
    <w:p>
      <w:pPr>
        <w:spacing w:after="0" w:line="70"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Specific Performance</w:t>
      </w:r>
      <w:r>
        <w:rPr>
          <w:rFonts w:ascii="Times New Roman" w:cs="Times New Roman" w:eastAsia="Times New Roman" w:hAnsi="Times New Roman"/>
          <w:sz w:val="18"/>
          <w:szCs w:val="18"/>
          <w:color w:val="auto"/>
        </w:rPr>
        <w:t>. Viatris, Purchaser and Pacira have agreed that irreparable damage for which monetary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damages, even if available, would not be an adequate remedy, would occur in the event that the parties to the Merger Agreement do not perform their obligations under the provisions of the Merger Agreement in accordance with their specified terms or otherwise breach such provisions. Each party will be entitled to an injunction or injunctions, specific performance, or other equitable relief, to prevent breaches of the Merger Agreement and to enforce specifically the terms and provisions of the Merger Agreement, without proof of damages or otherwise, in addition to any other remedy to which they are entitled under the Merger Agreement. The parties have also agreed that the provisions of the Merger Agreement relating to the Termination Fee, except with respect to monetary damages, are not intended to and do not adequately compensate for the harm that would result from a breach of the Merger Agreement and will not be construed to diminish or otherwise impair in any respect any party’s right to specific enforcement, and that the right of specific performance is an integral part of the transactions contemplated by the Merger Agreement.</w:t>
      </w:r>
    </w:p>
    <w:p>
      <w:pPr>
        <w:spacing w:after="0" w:line="82" w:lineRule="exact"/>
        <w:rPr>
          <w:sz w:val="20"/>
          <w:szCs w:val="20"/>
          <w:color w:val="auto"/>
        </w:rPr>
      </w:pPr>
    </w:p>
    <w:p>
      <w:pPr>
        <w:ind w:left="300" w:right="31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Expenses</w:t>
      </w:r>
      <w:r>
        <w:rPr>
          <w:rFonts w:ascii="Times New Roman" w:cs="Times New Roman" w:eastAsia="Times New Roman" w:hAnsi="Times New Roman"/>
          <w:sz w:val="18"/>
          <w:szCs w:val="18"/>
          <w:color w:val="auto"/>
        </w:rPr>
        <w:t>. Except as otherwise expressly specified in the Merger Agreement, all fees and expenses incurred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connection with the Merger Agreement and the transactions contemplated thereby will be paid by the party incurring such fees or expenses, whether or not the Offer and the Merger are consummated.</w:t>
      </w:r>
    </w:p>
    <w:p>
      <w:pPr>
        <w:spacing w:after="0" w:line="65" w:lineRule="exact"/>
        <w:rPr>
          <w:sz w:val="20"/>
          <w:szCs w:val="20"/>
          <w:color w:val="auto"/>
        </w:rPr>
      </w:pPr>
    </w:p>
    <w:p>
      <w:pPr>
        <w:jc w:val="both"/>
        <w:ind w:left="300" w:right="39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Governing Law</w:t>
      </w:r>
      <w:r>
        <w:rPr>
          <w:rFonts w:ascii="Times New Roman" w:cs="Times New Roman" w:eastAsia="Times New Roman" w:hAnsi="Times New Roman"/>
          <w:sz w:val="18"/>
          <w:szCs w:val="18"/>
          <w:color w:val="auto"/>
        </w:rPr>
        <w:t>. The Merger Agreement is governed by, and will be construed in accordance with, the laws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State of Delaware, regardless of the laws that might otherwise govern under applicable principles of conflicts of laws thereof.</w:t>
      </w:r>
    </w:p>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The Confidentiality Agreement</w:t>
      </w:r>
    </w:p>
    <w:p>
      <w:pPr>
        <w:spacing w:after="0" w:line="121" w:lineRule="exact"/>
        <w:rPr>
          <w:sz w:val="20"/>
          <w:szCs w:val="20"/>
          <w:color w:val="auto"/>
        </w:rPr>
      </w:pPr>
    </w:p>
    <w:p>
      <w:pPr>
        <w:ind w:left="300" w:right="359" w:firstLine="360"/>
        <w:spacing w:after="0" w:line="258" w:lineRule="auto"/>
        <w:rPr>
          <w:sz w:val="20"/>
          <w:szCs w:val="20"/>
          <w:color w:val="auto"/>
        </w:rPr>
      </w:pPr>
      <w:r>
        <w:rPr>
          <w:rFonts w:ascii="Times New Roman" w:cs="Times New Roman" w:eastAsia="Times New Roman" w:hAnsi="Times New Roman"/>
          <w:sz w:val="18"/>
          <w:szCs w:val="18"/>
          <w:color w:val="auto"/>
        </w:rPr>
        <w:t>On August 27, 2025, Viatris and Pacira Pharmaceuticals, Inc. entered into a Confidentiality Agreement (the “Original Confidentiality Agreement”) to facilitate discussions regarding a potential business transaction. The terms of the Original Confidentiality Agreement (other than with respect to Confidential Information (as defined in the Original Confidentiality Agreement) disclosed thereunder prior to the date of the Confidentiality Agreement (as defined below)) were superseded by the terms of the Confidentiality Agreement described below.</w:t>
      </w:r>
    </w:p>
    <w:p>
      <w:pPr>
        <w:spacing w:after="0" w:line="75" w:lineRule="exact"/>
        <w:rPr>
          <w:sz w:val="20"/>
          <w:szCs w:val="20"/>
          <w:color w:val="auto"/>
        </w:rPr>
      </w:pPr>
    </w:p>
    <w:p>
      <w:pPr>
        <w:ind w:left="300" w:right="379" w:firstLine="360"/>
        <w:spacing w:after="0" w:line="258" w:lineRule="auto"/>
        <w:rPr>
          <w:sz w:val="20"/>
          <w:szCs w:val="20"/>
          <w:color w:val="auto"/>
        </w:rPr>
      </w:pPr>
      <w:r>
        <w:rPr>
          <w:rFonts w:ascii="Times New Roman" w:cs="Times New Roman" w:eastAsia="Times New Roman" w:hAnsi="Times New Roman"/>
          <w:sz w:val="18"/>
          <w:szCs w:val="18"/>
          <w:color w:val="auto"/>
        </w:rPr>
        <w:t>On August 10, 2026, Pacira and Viatris entered into a Confidentiality Agreement (the “Confidentiality Agreement”). Under the terms of the Confidentiality Agreement, each party agreed, among other things, to keep certain non-public information concerning the other party confidential (subject to certain exceptions) for a period of three years. Pursuant to the Merger Agreement, the Confidentiality Agreement will automatically terminate and be of no further force and effect if the Effective Time occurs.</w:t>
      </w:r>
    </w:p>
    <w:p>
      <w:pPr>
        <w:spacing w:after="0" w:line="75" w:lineRule="exact"/>
        <w:rPr>
          <w:sz w:val="20"/>
          <w:szCs w:val="20"/>
          <w:color w:val="auto"/>
        </w:rPr>
      </w:pPr>
    </w:p>
    <w:p>
      <w:pPr>
        <w:ind w:left="300" w:right="579" w:firstLine="360"/>
        <w:spacing w:after="0" w:line="258" w:lineRule="auto"/>
        <w:rPr>
          <w:sz w:val="20"/>
          <w:szCs w:val="20"/>
          <w:color w:val="auto"/>
        </w:rPr>
      </w:pPr>
      <w:r>
        <w:rPr>
          <w:rFonts w:ascii="Times New Roman" w:cs="Times New Roman" w:eastAsia="Times New Roman" w:hAnsi="Times New Roman"/>
          <w:sz w:val="18"/>
          <w:szCs w:val="18"/>
          <w:color w:val="auto"/>
        </w:rPr>
        <w:t>The summary above of the Confidentiality Agreement does not purport to be complete and is qualified in its entirety by reference to the Confidentiality Agreement, which has been filed as an exhibit to the Tender Offer Statement on Schedule TO filed with the SEC, which may be examined and copied as set forth in Section 8 —“Certain Information Concerning Viatris and Purchaser.” For a complete understanding of the Confidentiality Agreement, holders of Shares are encouraged to read the full text of the Confidentiality Agreement.</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12.  Purpose of the Offer; Plans for Pacira.</w:t>
      </w:r>
    </w:p>
    <w:p>
      <w:pPr>
        <w:spacing w:after="0" w:line="119" w:lineRule="exact"/>
        <w:rPr>
          <w:sz w:val="20"/>
          <w:szCs w:val="20"/>
          <w:color w:val="auto"/>
        </w:rPr>
      </w:pPr>
    </w:p>
    <w:p>
      <w:pPr>
        <w:ind w:left="300" w:right="459" w:firstLine="360"/>
        <w:spacing w:after="0" w:line="275" w:lineRule="auto"/>
        <w:rPr>
          <w:sz w:val="20"/>
          <w:szCs w:val="20"/>
          <w:color w:val="auto"/>
        </w:rPr>
      </w:pPr>
      <w:r>
        <w:rPr>
          <w:rFonts w:ascii="Times New Roman" w:cs="Times New Roman" w:eastAsia="Times New Roman" w:hAnsi="Times New Roman"/>
          <w:sz w:val="17"/>
          <w:szCs w:val="17"/>
          <w:i w:val="1"/>
          <w:iCs w:val="1"/>
          <w:color w:val="auto"/>
        </w:rPr>
        <w:t xml:space="preserve">Purpose of the Offer. </w:t>
      </w:r>
      <w:r>
        <w:rPr>
          <w:rFonts w:ascii="Times New Roman" w:cs="Times New Roman" w:eastAsia="Times New Roman" w:hAnsi="Times New Roman"/>
          <w:sz w:val="17"/>
          <w:szCs w:val="17"/>
          <w:color w:val="auto"/>
        </w:rPr>
        <w:t>The purpose of the Offer is for Viatris, through Purchaser, to acquire control of, and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entire equity interest in, Pacira. The Offer, as the first step in the acquisition of Pacira, is intended to facilitate the acquisition of all issued and outstanding Shares. The purpose of the Merger is to acquire all issued and outstanding Shares not tendered and purchased pursuant to the Offer. If the Offer is consummated, subject to the satisfaction or waiver of the conditions to the obligations of the parties to effect the Merger contained in the Merger Agreement, Purchaser is required to consummate the Merger as soon as practicable following the Offer Closing.</w:t>
      </w:r>
    </w:p>
    <w:p>
      <w:pPr>
        <w:spacing w:after="0" w:line="62" w:lineRule="exact"/>
        <w:rPr>
          <w:sz w:val="20"/>
          <w:szCs w:val="20"/>
          <w:color w:val="auto"/>
        </w:rPr>
      </w:pPr>
    </w:p>
    <w:p>
      <w:pPr>
        <w:ind w:left="300" w:right="339" w:firstLine="360"/>
        <w:spacing w:after="0" w:line="256" w:lineRule="auto"/>
        <w:rPr>
          <w:sz w:val="20"/>
          <w:szCs w:val="20"/>
          <w:color w:val="auto"/>
        </w:rPr>
      </w:pPr>
      <w:r>
        <w:rPr>
          <w:rFonts w:ascii="Times New Roman" w:cs="Times New Roman" w:eastAsia="Times New Roman" w:hAnsi="Times New Roman"/>
          <w:sz w:val="18"/>
          <w:szCs w:val="18"/>
          <w:color w:val="auto"/>
        </w:rPr>
        <w:t>Former holders of Shares whose Shares are purchased in the Offer will cease to have any equity interest in Pacira and will no longer participate in the future growth of Pacira. If the Merger is consummated, all current holders of Shares will no longer have an equity interest in Pacira, regardless of whether they tender their Shares in connection with the Offer, and instead will only have the right to receive the Offer Price or, to the extent that holders of Shares are entitled to and have properly demanded appraisal in connection with the Merger, the amounts to which such holders of Shares are entitled in accordance with Section 262 of the DGCL.</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5" w:name="page56"/>
    <w:bookmarkEnd w:id="5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Merger Without a Vote of the Pacira Stockholders. </w:t>
      </w:r>
      <w:r>
        <w:rPr>
          <w:rFonts w:ascii="Times New Roman" w:cs="Times New Roman" w:eastAsia="Times New Roman" w:hAnsi="Times New Roman"/>
          <w:sz w:val="18"/>
          <w:szCs w:val="18"/>
          <w:color w:val="auto"/>
        </w:rPr>
        <w:t>If the Offer is consummated, we are not required to and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 seek the approval of Pacira’s remaining stockholders before effecting the Merger. Section 251(h) of the DGCL provides that following consummation of a successful tender offer for a public corporation, and subject to certain statutory provisions, if the acquiring corporation owns at least the amount of shares of each class of stock of the target corporation that would otherwise be required to approve a merger agreement for the target corporation, and the other stockholders receive the same consideration for their stock in the merger as was payable in the tender offer, the acquiring corporation can effect a merger without the action of the other stockholders of the target corporation. Accordingly, if the Offer is completed, it will mean that the Minimum Condition has been satisfied and, if the Minimum Condition has been satisfied and the other requirements of Section 251(h) of the DGCL are met, the Merger may be effected under Section 251(h) of the DGCL. Accordingly, if we consummate the Offer, we are required pursuant to the Merger Agreement to complete the Merger without a vote of the stockholders of Pacira in accordance with Section 251(h) of the DGCL.</w:t>
      </w:r>
    </w:p>
    <w:p>
      <w:pPr>
        <w:spacing w:after="0" w:line="82" w:lineRule="exact"/>
        <w:rPr>
          <w:sz w:val="20"/>
          <w:szCs w:val="20"/>
          <w:color w:val="auto"/>
        </w:rPr>
      </w:pPr>
    </w:p>
    <w:p>
      <w:pPr>
        <w:ind w:left="300" w:right="35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Plans for Pacira. </w:t>
      </w:r>
      <w:r>
        <w:rPr>
          <w:rFonts w:ascii="Times New Roman" w:cs="Times New Roman" w:eastAsia="Times New Roman" w:hAnsi="Times New Roman"/>
          <w:sz w:val="18"/>
          <w:szCs w:val="18"/>
          <w:color w:val="auto"/>
        </w:rPr>
        <w:t>Except as otherwise set forth in this Offer to Purchase, it is currently expected that, following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Merger, the business and operations of Pacira will be continued substantially as they are currently being conducted. Viatris currently intends to continue to evaluate the business and operations of Pacira after the consummation of the Offer and the Merger and will take such actions as it deems appropriate under the circumstances then existing.</w:t>
      </w:r>
    </w:p>
    <w:p>
      <w:pPr>
        <w:spacing w:after="0" w:line="77" w:lineRule="exact"/>
        <w:rPr>
          <w:sz w:val="20"/>
          <w:szCs w:val="20"/>
          <w:color w:val="auto"/>
        </w:rPr>
      </w:pPr>
    </w:p>
    <w:p>
      <w:pPr>
        <w:ind w:left="300" w:right="379" w:firstLine="360"/>
        <w:spacing w:after="0" w:line="261" w:lineRule="auto"/>
        <w:rPr>
          <w:sz w:val="20"/>
          <w:szCs w:val="20"/>
          <w:color w:val="auto"/>
        </w:rPr>
      </w:pPr>
      <w:r>
        <w:rPr>
          <w:rFonts w:ascii="Times New Roman" w:cs="Times New Roman" w:eastAsia="Times New Roman" w:hAnsi="Times New Roman"/>
          <w:sz w:val="18"/>
          <w:szCs w:val="18"/>
          <w:color w:val="auto"/>
        </w:rPr>
        <w:t>The respective individuals who served as the directors of Purchaser as of immediately prior to the Effective Time will become the directors of the Surviving Corporation at the Effective Time and the respective individuals who served as the officers of Purchaser as of immediately prior to the Effective Time will continue as the officers of the Surviving Corporation at the Effective Time.</w:t>
      </w:r>
    </w:p>
    <w:p>
      <w:pPr>
        <w:spacing w:after="0" w:line="72" w:lineRule="exact"/>
        <w:rPr>
          <w:sz w:val="20"/>
          <w:szCs w:val="20"/>
          <w:color w:val="auto"/>
        </w:rPr>
      </w:pPr>
    </w:p>
    <w:p>
      <w:pPr>
        <w:ind w:left="300" w:right="359" w:firstLine="360"/>
        <w:spacing w:after="0" w:line="267" w:lineRule="auto"/>
        <w:rPr>
          <w:sz w:val="20"/>
          <w:szCs w:val="20"/>
          <w:color w:val="auto"/>
        </w:rPr>
      </w:pPr>
      <w:r>
        <w:rPr>
          <w:rFonts w:ascii="Times New Roman" w:cs="Times New Roman" w:eastAsia="Times New Roman" w:hAnsi="Times New Roman"/>
          <w:sz w:val="17"/>
          <w:szCs w:val="17"/>
          <w:color w:val="auto"/>
        </w:rPr>
        <w:t>Except as described above or elsewhere in this Offer to Purchase (including Section 11—“The Transaction Agreements”, this Section 12 and Section 13—“Certain Effects of the Offer”), neither Purchaser nor Viatris has any present plans or proposals that would result in (i) any extraordinary transaction involving Pacira (such as a merger, reorganization or liquidation), (ii) any purchase, sale or transfer of a material amount of assets of Pacira, (iii) any material change in Pacira’s capitalization or dividend rate or policy or indebtedness, (iv) any change in the present board of directors or management of Pacira, (v) any other material change in Pacira’s corporate structure or business, (vi) any class of equity securities of Pacira being delisted from a national securities exchange or ceasing to be authorized to be quoted in an automated quotation system operated by a national securities association, (vii) any class of equity securities of Pacira becoming eligible for termination of registration pursuant to Section 12(g) of the Exchange Act, (viii) the suspension of Pacira’s obligation to file reports under Section 15(d) of the Exchange Act,</w:t>
      </w:r>
    </w:p>
    <w:p>
      <w:pPr>
        <w:spacing w:after="0" w:line="4" w:lineRule="exact"/>
        <w:rPr>
          <w:sz w:val="20"/>
          <w:szCs w:val="20"/>
          <w:color w:val="auto"/>
        </w:rPr>
      </w:pPr>
    </w:p>
    <w:p>
      <w:pPr>
        <w:ind w:left="600" w:hanging="308"/>
        <w:spacing w:after="0"/>
        <w:tabs>
          <w:tab w:leader="none" w:pos="6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by any person of additional securities of Pacira, or the disposition of securities of Pacira, or</w:t>
      </w:r>
    </w:p>
    <w:p>
      <w:pPr>
        <w:spacing w:after="0" w:line="9" w:lineRule="exact"/>
        <w:rPr>
          <w:rFonts w:ascii="Times New Roman" w:cs="Times New Roman" w:eastAsia="Times New Roman" w:hAnsi="Times New Roman"/>
          <w:sz w:val="18"/>
          <w:szCs w:val="18"/>
          <w:color w:val="auto"/>
        </w:rPr>
      </w:pPr>
    </w:p>
    <w:p>
      <w:pPr>
        <w:ind w:left="300" w:right="619" w:hanging="8"/>
        <w:spacing w:after="0" w:line="260" w:lineRule="auto"/>
        <w:tabs>
          <w:tab w:leader="none" w:pos="55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in Pacira’s charter, bylaws or other governing instruments or other actions that could impede the acquisition of control of the subject company.</w:t>
      </w:r>
    </w:p>
    <w:p>
      <w:pPr>
        <w:spacing w:after="0" w:line="1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13.  Certain Effects of the Offer.</w:t>
      </w:r>
    </w:p>
    <w:p>
      <w:pPr>
        <w:spacing w:after="0" w:line="117" w:lineRule="exact"/>
        <w:rPr>
          <w:sz w:val="20"/>
          <w:szCs w:val="20"/>
          <w:color w:val="auto"/>
        </w:rPr>
      </w:pPr>
    </w:p>
    <w:p>
      <w:pPr>
        <w:ind w:left="300" w:right="379" w:firstLine="360"/>
        <w:spacing w:after="0" w:line="257" w:lineRule="auto"/>
        <w:rPr>
          <w:sz w:val="20"/>
          <w:szCs w:val="20"/>
          <w:color w:val="auto"/>
        </w:rPr>
      </w:pPr>
      <w:r>
        <w:rPr>
          <w:rFonts w:ascii="Times New Roman" w:cs="Times New Roman" w:eastAsia="Times New Roman" w:hAnsi="Times New Roman"/>
          <w:sz w:val="18"/>
          <w:szCs w:val="18"/>
          <w:b w:val="1"/>
          <w:bCs w:val="1"/>
          <w:color w:val="auto"/>
        </w:rPr>
        <w:t>Because the Merger will be governed by Section 251(h) of the DGCL, no stockholder vote will be required to consummate the Merger. Following the consummation of the Offer and subject to the satisfaction or waiver of the remaining conditions set forth in the Merger Agreement, Viatris, Purchaser and Pacira will consummate the Merger as soon as practicable following the consummation of the Offer. We do not expect there to be a significant period of time between the consummation of the Offer and the consummation of the Merger.</w:t>
      </w:r>
    </w:p>
    <w:p>
      <w:pPr>
        <w:spacing w:after="0" w:line="76" w:lineRule="exact"/>
        <w:rPr>
          <w:sz w:val="20"/>
          <w:szCs w:val="20"/>
          <w:color w:val="auto"/>
        </w:rPr>
      </w:pPr>
    </w:p>
    <w:p>
      <w:pPr>
        <w:ind w:left="300" w:right="47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Market for Shares. </w:t>
      </w:r>
      <w:r>
        <w:rPr>
          <w:rFonts w:ascii="Times New Roman" w:cs="Times New Roman" w:eastAsia="Times New Roman" w:hAnsi="Times New Roman"/>
          <w:sz w:val="18"/>
          <w:szCs w:val="18"/>
          <w:color w:val="auto"/>
        </w:rPr>
        <w:t>If the Offer is successful, there will be no market for the Shares because Purchaser intends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consummate the Merger as soon as practicable thereafter, subject to the satisfaction or waiver of certain conditions set forth in the Merger Agreement.</w:t>
      </w:r>
    </w:p>
    <w:p>
      <w:pPr>
        <w:spacing w:after="0" w:line="65" w:lineRule="exact"/>
        <w:rPr>
          <w:sz w:val="20"/>
          <w:szCs w:val="20"/>
          <w:color w:val="auto"/>
        </w:rPr>
      </w:pPr>
    </w:p>
    <w:p>
      <w:pPr>
        <w:ind w:left="300" w:right="359" w:firstLine="360"/>
        <w:spacing w:after="0" w:line="272" w:lineRule="auto"/>
        <w:rPr>
          <w:sz w:val="20"/>
          <w:szCs w:val="20"/>
          <w:color w:val="auto"/>
        </w:rPr>
      </w:pPr>
      <w:r>
        <w:rPr>
          <w:rFonts w:ascii="Times New Roman" w:cs="Times New Roman" w:eastAsia="Times New Roman" w:hAnsi="Times New Roman"/>
          <w:sz w:val="17"/>
          <w:szCs w:val="17"/>
          <w:i w:val="1"/>
          <w:iCs w:val="1"/>
          <w:color w:val="auto"/>
        </w:rPr>
        <w:t xml:space="preserve">Stock Quotation. </w:t>
      </w:r>
      <w:r>
        <w:rPr>
          <w:rFonts w:ascii="Times New Roman" w:cs="Times New Roman" w:eastAsia="Times New Roman" w:hAnsi="Times New Roman"/>
          <w:sz w:val="17"/>
          <w:szCs w:val="17"/>
          <w:color w:val="auto"/>
        </w:rPr>
        <w:t>The Shares are currently quoted on the Nasdaq Global Select Market. However, the rules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Nasdaq Global Select Market establish certain criteria that, if not met, could lead to the discontinuance of quotation of Shares from the Nasdaq Global Select Market. Among such criteria are the number of stockholders, the number of shares publicly held and the aggregate market value of the shares publicly held. If, as a result of the purchase of Shares pursuant to the Offer or otherwise, Shares no longer meet the requirements of the Nasdaq Global Select Market for continued quotation and the quotation of Shares is discontinued, the market for Shares would be adversely affected. Viatris and Purchaser currently intend to cause the delisting of the Shares from the Nasdaq Global Select Market, as promptly as practicable after the Effective Time, as permitted by applicable law and the</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6" w:name="page57"/>
    <w:bookmarkEnd w:id="5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spacing w:after="0" w:line="266" w:lineRule="auto"/>
        <w:rPr>
          <w:sz w:val="20"/>
          <w:szCs w:val="20"/>
          <w:color w:val="auto"/>
        </w:rPr>
      </w:pPr>
      <w:r>
        <w:rPr>
          <w:rFonts w:ascii="Times New Roman" w:cs="Times New Roman" w:eastAsia="Times New Roman" w:hAnsi="Times New Roman"/>
          <w:sz w:val="18"/>
          <w:szCs w:val="18"/>
          <w:color w:val="auto"/>
        </w:rPr>
        <w:t>rules of the Nasdaq Global Select Market. We also expect to consummate the Merger as soon as practicable following the consummation of the Offer, without a vote of the Pacira stockholders. If the Merger takes place, Pacira will no longer be publicly traded.</w:t>
      </w:r>
    </w:p>
    <w:p>
      <w:pPr>
        <w:spacing w:after="0" w:line="66" w:lineRule="exact"/>
        <w:rPr>
          <w:sz w:val="20"/>
          <w:szCs w:val="20"/>
          <w:color w:val="auto"/>
        </w:rPr>
      </w:pPr>
    </w:p>
    <w:p>
      <w:pPr>
        <w:ind w:left="300" w:right="45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Margin Regulations</w:t>
      </w:r>
      <w:r>
        <w:rPr>
          <w:rFonts w:ascii="Times New Roman" w:cs="Times New Roman" w:eastAsia="Times New Roman" w:hAnsi="Times New Roman"/>
          <w:sz w:val="18"/>
          <w:szCs w:val="18"/>
          <w:color w:val="auto"/>
        </w:rPr>
        <w:t>. The Shares are currently “margin securities” under the Regulations of the Board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Governors of the Federal Reserve System (the “Federal Reserve Board”), which designation has the effect, among other effects, of allowing brokers to extend credit on the collateral of Shares. Depending upon factors similar to those described above regarding the market for Shares and stock quotations, it is possible that, following the Offer, Shares would no longer constitute “margin securities” for the purposes of the margin regulations of the Federal Reserve Board and, therefore, could no longer be used as collateral for loans made by brokers.</w:t>
      </w:r>
    </w:p>
    <w:p>
      <w:pPr>
        <w:spacing w:after="0" w:line="74" w:lineRule="exact"/>
        <w:rPr>
          <w:sz w:val="20"/>
          <w:szCs w:val="20"/>
          <w:color w:val="auto"/>
        </w:rPr>
      </w:pPr>
    </w:p>
    <w:p>
      <w:pPr>
        <w:ind w:left="300" w:right="319" w:firstLine="360"/>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Exchange Act Registration. </w:t>
      </w:r>
      <w:r>
        <w:rPr>
          <w:rFonts w:ascii="Times New Roman" w:cs="Times New Roman" w:eastAsia="Times New Roman" w:hAnsi="Times New Roman"/>
          <w:sz w:val="18"/>
          <w:szCs w:val="18"/>
          <w:color w:val="auto"/>
        </w:rPr>
        <w:t>The Shares are currently registered under the Exchange Act. Such registration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terminated upon application by Pacira to the SEC if Shares are neither listed on a national securities exchange nor held by 300 or more holders of record. Termination of registration of Shares under the Exchange Act would substantially reduce the information required to be furnished by Pacira to its stockholders and to the SEC and would make certain provisions of the Exchange Act no longer applicable to Pacira, such as the short-swing profit recovery provisions of Section 16(b) of the Exchange Act, the requirement of furnishing a proxy statement pursuant to Section 14(a) of the Exchange Act in connection with stockholders meetings and the related requirement of furnishing an annual report to stockholders and the requirements of Rule 13e-3 under the Exchange Act with respect to “going private” transactions. Furthermore, the ability of “affiliates” of Pacira and persons holding “restricted securities” of Pacira to dispose of such securities pursuant to Rule 144 promulgated under the Securities Act</w:t>
      </w:r>
    </w:p>
    <w:p>
      <w:pPr>
        <w:spacing w:after="0" w:line="7" w:lineRule="exact"/>
        <w:rPr>
          <w:sz w:val="20"/>
          <w:szCs w:val="20"/>
          <w:color w:val="auto"/>
        </w:rPr>
      </w:pPr>
    </w:p>
    <w:p>
      <w:pPr>
        <w:ind w:left="300" w:right="439"/>
        <w:spacing w:after="0" w:line="252" w:lineRule="auto"/>
        <w:rPr>
          <w:sz w:val="20"/>
          <w:szCs w:val="20"/>
          <w:color w:val="auto"/>
        </w:rPr>
      </w:pPr>
      <w:r>
        <w:rPr>
          <w:rFonts w:ascii="Times New Roman" w:cs="Times New Roman" w:eastAsia="Times New Roman" w:hAnsi="Times New Roman"/>
          <w:sz w:val="18"/>
          <w:szCs w:val="18"/>
          <w:color w:val="auto"/>
        </w:rPr>
        <w:t>of 1933, as amended, may be impaired or eliminated. If registration of Shares under the Exchange Act were terminated, Shares would no longer be “margin securities” or be eligible for quotation on the Nasdaq Global Select Market as described above. Viatris and Purchaser currently intend to cause Pacira to terminate the registration of Shares under the Exchange Act (and as permitted by applicable law, the requirement to make filings under the Exchange Act), as promptly as practicable after the Effective Time and as soon as the requirements for termination of registration are met.</w:t>
      </w:r>
    </w:p>
    <w:p>
      <w:pPr>
        <w:spacing w:after="0" w:line="18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14.  Dividends and Distributions.</w:t>
      </w:r>
    </w:p>
    <w:p>
      <w:pPr>
        <w:spacing w:after="0" w:line="121" w:lineRule="exact"/>
        <w:rPr>
          <w:sz w:val="20"/>
          <w:szCs w:val="20"/>
          <w:color w:val="auto"/>
        </w:rPr>
      </w:pPr>
    </w:p>
    <w:p>
      <w:pPr>
        <w:ind w:left="300" w:right="399" w:firstLine="360"/>
        <w:spacing w:after="0" w:line="256" w:lineRule="auto"/>
        <w:rPr>
          <w:sz w:val="20"/>
          <w:szCs w:val="20"/>
          <w:color w:val="auto"/>
        </w:rPr>
      </w:pPr>
      <w:r>
        <w:rPr>
          <w:rFonts w:ascii="Times New Roman" w:cs="Times New Roman" w:eastAsia="Times New Roman" w:hAnsi="Times New Roman"/>
          <w:sz w:val="18"/>
          <w:szCs w:val="18"/>
          <w:color w:val="auto"/>
        </w:rPr>
        <w:t>The Merger Agreement provides that from the date of the Merger Agreement until the earlier of the Offer Acceptance Time and the termination of the Merger Agreement, Pacira will not establish a record date for, declare, accrue, set aside or pay any dividend or make any other distribution in respect of any shares of its capital stock (including the Shares), other than as expressly required under the Merger Agreement, as required by applicable law, as set forth in the confidential disclosure schedule of Pacira with respect to the Merger Agreement or with Viatris’ prior written consent (which consent will not be unreasonably withheld, conditioned or delayed).</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15.  Conditions to the Offer.</w:t>
      </w:r>
    </w:p>
    <w:p>
      <w:pPr>
        <w:spacing w:after="0" w:line="121" w:lineRule="exact"/>
        <w:rPr>
          <w:sz w:val="20"/>
          <w:szCs w:val="20"/>
          <w:color w:val="auto"/>
        </w:rPr>
      </w:pPr>
    </w:p>
    <w:p>
      <w:pPr>
        <w:ind w:left="300" w:right="359" w:firstLine="360"/>
        <w:spacing w:after="0" w:line="267" w:lineRule="auto"/>
        <w:rPr>
          <w:sz w:val="20"/>
          <w:szCs w:val="20"/>
          <w:color w:val="auto"/>
        </w:rPr>
      </w:pPr>
      <w:r>
        <w:rPr>
          <w:rFonts w:ascii="Times New Roman" w:cs="Times New Roman" w:eastAsia="Times New Roman" w:hAnsi="Times New Roman"/>
          <w:sz w:val="17"/>
          <w:szCs w:val="17"/>
          <w:color w:val="auto"/>
        </w:rPr>
        <w:t>The obligation of Purchaser to accept for payment and pay for Shares validly tendered (and not validly withdrawn) pursuant to the Offer is subject to the satisfaction or waiver, as applicable, of the conditions set forth in clauses (a) through (i) below. Accordingly, notwithstanding any other provision of the Offer or the Merger Agreement to the contrary, Purchaser will not be required to accept for payment or (subject to any applicable rules and regulations of the SEC, including Rule 14e-1(c) under the Exchange Act) pay for, and may delay the acceptance for payment of, or (subject to any such rules and regulations) the payment for, any tendered Shares, and, to the extent permitted by the Merger Agreement, may terminate the Offer: (i) upon termination of the Merger Agreement; and (ii) at any scheduled Expiration Date (subject to any extensions of the Offer pursuant to the Merger Agreement) or amend the Offer as otherwise permitted by the Merger Agreement, if: (A) the condition set forth in clause (a) below has not been satisfied as of one (1) minute following 11:59 p.m. Eastern Time on the Expiration Date or</w:t>
      </w:r>
    </w:p>
    <w:p>
      <w:pPr>
        <w:spacing w:after="0" w:line="4" w:lineRule="exact"/>
        <w:rPr>
          <w:sz w:val="20"/>
          <w:szCs w:val="20"/>
          <w:color w:val="auto"/>
        </w:rPr>
      </w:pPr>
    </w:p>
    <w:p>
      <w:pPr>
        <w:ind w:left="300" w:right="519" w:hanging="8"/>
        <w:spacing w:after="0" w:line="260" w:lineRule="auto"/>
        <w:tabs>
          <w:tab w:leader="none" w:pos="58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the additional conditions set forth in clauses (b) through (i) below have not been satisfied or waived (to the extent permitted by the Merger Agreement and applicable law) in writing by Viatris:</w:t>
      </w:r>
    </w:p>
    <w:p>
      <w:pPr>
        <w:spacing w:after="0" w:line="73" w:lineRule="exact"/>
        <w:rPr>
          <w:rFonts w:ascii="Times New Roman" w:cs="Times New Roman" w:eastAsia="Times New Roman" w:hAnsi="Times New Roman"/>
          <w:sz w:val="18"/>
          <w:szCs w:val="18"/>
          <w:color w:val="auto"/>
        </w:rPr>
      </w:pPr>
    </w:p>
    <w:p>
      <w:pPr>
        <w:ind w:left="1000" w:right="319" w:hanging="348"/>
        <w:spacing w:after="0" w:line="257" w:lineRule="auto"/>
        <w:tabs>
          <w:tab w:leader="none" w:pos="100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validly tendered (and not properly withdrawn) prior to the time that the Offer expires (but excluding Shares tendered pursuant to guaranteed delivery procedures that have not yet been “received,” as defined by Section 251(h)(6)(f) of the DGCL by the “depository,” as defined in</w:t>
      </w:r>
    </w:p>
    <w:p>
      <w:pPr>
        <w:spacing w:after="0" w:line="1" w:lineRule="exact"/>
        <w:rPr>
          <w:rFonts w:ascii="Times New Roman" w:cs="Times New Roman" w:eastAsia="Times New Roman" w:hAnsi="Times New Roman"/>
          <w:sz w:val="18"/>
          <w:szCs w:val="18"/>
          <w:color w:val="auto"/>
        </w:rPr>
      </w:pPr>
    </w:p>
    <w:p>
      <w:pPr>
        <w:jc w:val="both"/>
        <w:ind w:left="1000" w:right="39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251(h)(6)(c) of the DGCL), together with the Shares then owned by Purchaser and its “affiliates” (as such term is defined in Section 251(h)(6)(a) of the DGCL), represents at least one (1) Share more than 50% of the then issued and outstanding Shares (the “Minimum Condition”);</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7" w:name="page58"/>
    <w:bookmarkEnd w:id="5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360" w:right="439" w:hanging="715"/>
        <w:spacing w:after="0" w:line="281" w:lineRule="auto"/>
        <w:tabs>
          <w:tab w:leader="none" w:pos="1340" w:val="left"/>
        </w:tabs>
        <w:rPr>
          <w:sz w:val="20"/>
          <w:szCs w:val="20"/>
          <w:color w:val="auto"/>
        </w:rPr>
      </w:pPr>
      <w:r>
        <w:rPr>
          <w:rFonts w:ascii="Times New Roman" w:cs="Times New Roman" w:eastAsia="Times New Roman" w:hAnsi="Times New Roman"/>
          <w:sz w:val="18"/>
          <w:szCs w:val="18"/>
          <w:color w:val="auto"/>
        </w:rPr>
        <w:t>(b)   (i)</w:t>
      </w:r>
      <w:r>
        <w:rPr>
          <w:sz w:val="20"/>
          <w:szCs w:val="20"/>
          <w:color w:val="auto"/>
        </w:rPr>
        <w:tab/>
      </w:r>
      <w:r>
        <w:rPr>
          <w:rFonts w:ascii="Times New Roman" w:cs="Times New Roman" w:eastAsia="Times New Roman" w:hAnsi="Times New Roman"/>
          <w:sz w:val="17"/>
          <w:szCs w:val="17"/>
          <w:color w:val="auto"/>
        </w:rPr>
        <w:t>specified representations and warranties of Pacira with respect to its capitalization must have been accurate in all respects, at and as of the Offer Acceptance Time, in each case as if made on and as of such time (except representations and warranties that by their terms speak specifically as of another date or time, in which case as of such other date or time), except for any de minimis inaccuracies;</w:t>
      </w:r>
    </w:p>
    <w:p>
      <w:pPr>
        <w:spacing w:after="0" w:line="56" w:lineRule="exact"/>
        <w:rPr>
          <w:sz w:val="20"/>
          <w:szCs w:val="20"/>
          <w:color w:val="auto"/>
        </w:rPr>
      </w:pPr>
    </w:p>
    <w:p>
      <w:pPr>
        <w:ind w:left="1360" w:right="499" w:hanging="348"/>
        <w:spacing w:after="0" w:line="254" w:lineRule="auto"/>
        <w:tabs>
          <w:tab w:leader="none" w:pos="136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specified representations and warranties of Pacira with respect to its corporate organization, organizational documents, authority, capitalization (other than the capitalization representations referred to in clause (b)(i) above), merger approval and brokers must have been true and correct (disregarding for this purpose all “Material Adverse Effect” and “materiality” qualifications contained in such representations and warranties) in all material respects at and as of the Offer Acceptance Time, in each case as if made on and as of such time (except representations and warranties that by their terms speak specifically as of another date or time, in which case as of such other date or time);</w:t>
      </w:r>
    </w:p>
    <w:p>
      <w:pPr>
        <w:spacing w:after="0" w:line="83" w:lineRule="exact"/>
        <w:rPr>
          <w:rFonts w:ascii="Times New Roman" w:cs="Times New Roman" w:eastAsia="Times New Roman" w:hAnsi="Times New Roman"/>
          <w:sz w:val="18"/>
          <w:szCs w:val="18"/>
          <w:color w:val="auto"/>
        </w:rPr>
      </w:pPr>
    </w:p>
    <w:p>
      <w:pPr>
        <w:ind w:left="1360" w:right="439" w:hanging="348"/>
        <w:spacing w:after="0" w:line="261" w:lineRule="auto"/>
        <w:tabs>
          <w:tab w:leader="none" w:pos="136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specified representations and warranties of Pacira with respect to the absence of any Material Adverse Effect since December 31, 2025 through the date of the Merger Agreement must have been true and correct in all respects at and as of the Offer Acceptance Time as if made on and as of such time; and</w:t>
      </w:r>
    </w:p>
    <w:p>
      <w:pPr>
        <w:spacing w:after="0" w:line="71" w:lineRule="exact"/>
        <w:rPr>
          <w:rFonts w:ascii="Times New Roman" w:cs="Times New Roman" w:eastAsia="Times New Roman" w:hAnsi="Times New Roman"/>
          <w:sz w:val="18"/>
          <w:szCs w:val="18"/>
          <w:color w:val="auto"/>
        </w:rPr>
      </w:pPr>
    </w:p>
    <w:p>
      <w:pPr>
        <w:ind w:left="1360" w:right="339" w:hanging="348"/>
        <w:spacing w:after="0" w:line="253" w:lineRule="auto"/>
        <w:tabs>
          <w:tab w:leader="none" w:pos="136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other representations and warranties of Pacira set forth in the Merger Agreement (other than those referred to in clauses (b)(i), (b)(ii) or (b)(iii) above) must have been true and correct (disregarding for this purpose all “Material Adverse Effect” and “materiality” qualifications contained in such representations and warranties) in all respects at and as of the Offer Acceptance Time as if made on and as of such time (except representations and warranties that by their terms speak specifically as of another date or time, in which case as of such other date or time), except where the failure of any such representation or warranty to be so accurate has not had, and would not reasonably be expected to have, individually or in the aggregate, a “Material Adverse Effect” (as defined in the Merger Agreement and described in Section 11—“The Transaction Agreements”) (collectively, clauses (b)(i), (b)(ii), (b)(iii) and (b)(iv), the “Representations Condition”);</w:t>
      </w:r>
    </w:p>
    <w:p>
      <w:pPr>
        <w:spacing w:after="0" w:line="86" w:lineRule="exact"/>
        <w:rPr>
          <w:rFonts w:ascii="Times New Roman" w:cs="Times New Roman" w:eastAsia="Times New Roman" w:hAnsi="Times New Roman"/>
          <w:sz w:val="18"/>
          <w:szCs w:val="18"/>
          <w:color w:val="auto"/>
        </w:rPr>
      </w:pPr>
    </w:p>
    <w:p>
      <w:pPr>
        <w:ind w:left="1000" w:right="439" w:hanging="348"/>
        <w:spacing w:after="0" w:line="266" w:lineRule="auto"/>
        <w:tabs>
          <w:tab w:leader="none" w:pos="10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Pacira must have complied with or performed in all material respects all of the covenants and agreements it is required to comply with or perform at or prior to the Offer Acceptance Time (the “Covenants Condition”);</w:t>
      </w:r>
    </w:p>
    <w:p>
      <w:pPr>
        <w:spacing w:after="0" w:line="67" w:lineRule="exact"/>
        <w:rPr>
          <w:rFonts w:ascii="Times New Roman" w:cs="Times New Roman" w:eastAsia="Times New Roman" w:hAnsi="Times New Roman"/>
          <w:sz w:val="18"/>
          <w:szCs w:val="18"/>
          <w:color w:val="auto"/>
        </w:rPr>
      </w:pPr>
    </w:p>
    <w:p>
      <w:pPr>
        <w:ind w:left="1000" w:right="579" w:hanging="348"/>
        <w:spacing w:after="0" w:line="282" w:lineRule="auto"/>
        <w:tabs>
          <w:tab w:leader="none" w:pos="10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October 8, 2026, there has not been any Material Adverse Effect that is continuing as of the Offer Acceptance Time (the “MAE Condition”);</w:t>
      </w:r>
    </w:p>
    <w:p>
      <w:pPr>
        <w:spacing w:after="0" w:line="53" w:lineRule="exact"/>
        <w:rPr>
          <w:rFonts w:ascii="Times New Roman" w:cs="Times New Roman" w:eastAsia="Times New Roman" w:hAnsi="Times New Roman"/>
          <w:sz w:val="18"/>
          <w:szCs w:val="18"/>
          <w:color w:val="auto"/>
        </w:rPr>
      </w:pPr>
    </w:p>
    <w:p>
      <w:pPr>
        <w:ind w:left="1000" w:right="359" w:hanging="348"/>
        <w:spacing w:after="0" w:line="261" w:lineRule="auto"/>
        <w:tabs>
          <w:tab w:leader="none" w:pos="10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waiting period (or any extension thereof) applicable to the Offer under the HSR Act must have expired or been terminated, and any timing agreement with any governmental body applicable to the Offer or the Merger shall have expired or otherwise ceased to restrict the consummation of the Offer and the Merger (the “Regulatory Condition”);</w:t>
      </w:r>
    </w:p>
    <w:p>
      <w:pPr>
        <w:spacing w:after="0" w:line="71" w:lineRule="exact"/>
        <w:rPr>
          <w:rFonts w:ascii="Times New Roman" w:cs="Times New Roman" w:eastAsia="Times New Roman" w:hAnsi="Times New Roman"/>
          <w:sz w:val="18"/>
          <w:szCs w:val="18"/>
          <w:color w:val="auto"/>
        </w:rPr>
      </w:pPr>
    </w:p>
    <w:p>
      <w:pPr>
        <w:ind w:left="1000" w:right="319" w:hanging="348"/>
        <w:spacing w:after="0" w:line="266" w:lineRule="auto"/>
        <w:tabs>
          <w:tab w:leader="none" w:pos="10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Viatris and Purchaser must have received a certificate executed on behalf of Pacira by Pacira’s Chief Executive Officer or Chief Financial Officer confirming that the Representations Condition, the Covenants Condition and the MAE Condition have been duly satisfied;</w:t>
      </w:r>
    </w:p>
    <w:p>
      <w:pPr>
        <w:spacing w:after="0" w:line="67" w:lineRule="exact"/>
        <w:rPr>
          <w:rFonts w:ascii="Times New Roman" w:cs="Times New Roman" w:eastAsia="Times New Roman" w:hAnsi="Times New Roman"/>
          <w:sz w:val="18"/>
          <w:szCs w:val="18"/>
          <w:color w:val="auto"/>
        </w:rPr>
      </w:pPr>
    </w:p>
    <w:p>
      <w:pPr>
        <w:ind w:left="1000" w:right="819" w:hanging="348"/>
        <w:spacing w:after="0" w:line="266" w:lineRule="auto"/>
        <w:tabs>
          <w:tab w:leader="none" w:pos="10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must not be in effect a Legal Restraint that directly or indirectly enjoins, restrains or otherwise prohibits, or makes illegal, the acquisition of or payment for Shares pursuant to the Offer, or the consummation of the Merger (the “Non-Prohibition Condition”);</w:t>
      </w:r>
    </w:p>
    <w:p>
      <w:pPr>
        <w:spacing w:after="0" w:line="67" w:lineRule="exact"/>
        <w:rPr>
          <w:rFonts w:ascii="Times New Roman" w:cs="Times New Roman" w:eastAsia="Times New Roman" w:hAnsi="Times New Roman"/>
          <w:sz w:val="18"/>
          <w:szCs w:val="18"/>
          <w:color w:val="auto"/>
        </w:rPr>
      </w:pPr>
    </w:p>
    <w:p>
      <w:pPr>
        <w:ind w:left="1000" w:right="379" w:hanging="348"/>
        <w:spacing w:after="0" w:line="261" w:lineRule="auto"/>
        <w:tabs>
          <w:tab w:leader="none" w:pos="10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must not be in effect any Legal Restraint imposing a Burdensome Condition, and there must not be pending any action, suit, charge, complaint, litigation, or arbitration brought by any governmental body of competent jurisdiction seeking a Legal Restraint prohibiting, or making illegal, any of the transactions contemplated by the Merger Agreement or to impose a Burdensome Condition; and</w:t>
      </w:r>
    </w:p>
    <w:p>
      <w:pPr>
        <w:spacing w:after="0" w:line="71" w:lineRule="exact"/>
        <w:rPr>
          <w:rFonts w:ascii="Times New Roman" w:cs="Times New Roman" w:eastAsia="Times New Roman" w:hAnsi="Times New Roman"/>
          <w:sz w:val="18"/>
          <w:szCs w:val="18"/>
          <w:color w:val="auto"/>
        </w:rPr>
      </w:pPr>
    </w:p>
    <w:p>
      <w:pPr>
        <w:ind w:left="1000" w:right="739" w:hanging="348"/>
        <w:spacing w:after="0" w:line="282" w:lineRule="auto"/>
        <w:tabs>
          <w:tab w:leader="none" w:pos="10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Agreement must not have been terminated in accordance with its terms (the “Termination Condition”).</w:t>
      </w:r>
    </w:p>
    <w:p>
      <w:pPr>
        <w:spacing w:after="0" w:line="54" w:lineRule="exact"/>
        <w:rPr>
          <w:sz w:val="20"/>
          <w:szCs w:val="20"/>
          <w:color w:val="auto"/>
        </w:rPr>
      </w:pPr>
    </w:p>
    <w:p>
      <w:pPr>
        <w:ind w:left="300" w:right="359" w:firstLine="360"/>
        <w:spacing w:after="0" w:line="266" w:lineRule="auto"/>
        <w:rPr>
          <w:sz w:val="20"/>
          <w:szCs w:val="20"/>
          <w:color w:val="auto"/>
        </w:rPr>
      </w:pPr>
      <w:r>
        <w:rPr>
          <w:rFonts w:ascii="Times New Roman" w:cs="Times New Roman" w:eastAsia="Times New Roman" w:hAnsi="Times New Roman"/>
          <w:sz w:val="18"/>
          <w:szCs w:val="18"/>
          <w:color w:val="auto"/>
        </w:rPr>
        <w:t>The foregoing conditions, which we refer to collectively as the “Offer Conditions”, are in addition to, and not a limitation of, the rights and obligations of Viatris and Purchaser to extend, terminate or modify the Offer in accordance with the terms of the Merger Agreement and applicable law.</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8" w:name="page59"/>
    <w:bookmarkEnd w:id="5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79" w:firstLine="360"/>
        <w:spacing w:after="0" w:line="256" w:lineRule="auto"/>
        <w:rPr>
          <w:sz w:val="20"/>
          <w:szCs w:val="20"/>
          <w:color w:val="auto"/>
        </w:rPr>
      </w:pPr>
      <w:r>
        <w:rPr>
          <w:rFonts w:ascii="Times New Roman" w:cs="Times New Roman" w:eastAsia="Times New Roman" w:hAnsi="Times New Roman"/>
          <w:sz w:val="18"/>
          <w:szCs w:val="18"/>
          <w:color w:val="auto"/>
        </w:rPr>
        <w:t>The Offer Conditions are for the sole benefit of Viatris and Purchaser (except for the Minimum Condition, the Regulatory Condition, the Non-Prohibition Condition and the Termination Condition), and may be waived (but solely to the extent permitted by the Merger Agreement and applicable law) by Viatris and Purchaser, in whole or in part at any time and from time to time, in the sole discretion of Viatris and Purchaser. The failure by Viatris or Purchaser at any time to exercise any of the foregoing rights will not be deemed a waiver of any such right and each such right will be deemed an ongoing right which may be asserted at any time and from time to time.</w:t>
      </w:r>
    </w:p>
    <w:p>
      <w:pPr>
        <w:spacing w:after="0" w:line="79" w:lineRule="exact"/>
        <w:rPr>
          <w:sz w:val="20"/>
          <w:szCs w:val="20"/>
          <w:color w:val="auto"/>
        </w:rPr>
      </w:pPr>
    </w:p>
    <w:p>
      <w:pPr>
        <w:ind w:left="300" w:right="699" w:firstLine="360"/>
        <w:spacing w:after="0" w:line="312" w:lineRule="auto"/>
        <w:rPr>
          <w:sz w:val="20"/>
          <w:szCs w:val="20"/>
          <w:color w:val="auto"/>
        </w:rPr>
      </w:pPr>
      <w:r>
        <w:rPr>
          <w:rFonts w:ascii="Times New Roman" w:cs="Times New Roman" w:eastAsia="Times New Roman" w:hAnsi="Times New Roman"/>
          <w:sz w:val="17"/>
          <w:szCs w:val="17"/>
          <w:color w:val="auto"/>
        </w:rPr>
        <w:t>The Regulatory Condition has been satisfied by the expiration at 11:59 p.m., Eastern Time, on October 29, 2026 of the waiting period under the HSR Act applicable to the Offer and the consummation of the Merger.</w:t>
      </w:r>
    </w:p>
    <w:p>
      <w:pPr>
        <w:spacing w:after="0" w:line="1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16.  Certain Legal Matters; Regulatory Approvals.</w:t>
      </w:r>
    </w:p>
    <w:p>
      <w:pPr>
        <w:spacing w:after="0" w:line="119" w:lineRule="exact"/>
        <w:rPr>
          <w:sz w:val="20"/>
          <w:szCs w:val="20"/>
          <w:color w:val="auto"/>
        </w:rPr>
      </w:pPr>
    </w:p>
    <w:p>
      <w:pPr>
        <w:ind w:left="300" w:right="359" w:firstLine="360"/>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General. </w:t>
      </w:r>
      <w:r>
        <w:rPr>
          <w:rFonts w:ascii="Times New Roman" w:cs="Times New Roman" w:eastAsia="Times New Roman" w:hAnsi="Times New Roman"/>
          <w:sz w:val="18"/>
          <w:szCs w:val="18"/>
          <w:color w:val="auto"/>
        </w:rPr>
        <w:t>Except as described in this Section 16, based on its examination of publicly available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filed by Pacira with the SEC, other publicly available information concerning Pacira and other information made available to Purchaser by Pacira, Purchaser is not aware of any governmental license or regulatory permit that appears to be material to Pacira’s business that might be adversely affected by Purchaser’s acquisition of Shares as contemplated herein or of any approval or other action by any governmental, administrative or regulatory authority or agency, domestic or foreign, that would be required for the acquisition or ownership of Shares by Purchaser or Viatris as contemplated herein. Should any such approval or other action be required, Purchaser currently contemplates that, except as described below under subsection “—State Takeover Statutes”, such approval or other action will be sought. Except for observance of the waiting periods and the obtaining of the required approvals summarized under subsection “—United States Antitrust Compliance” below in this Section 16, we do not currently intend to delay acceptance for payment of Shares tendered pursuant to the Offer pending the outcome of any such matter. However, there can be no assurance that any such approval or other action, if needed, would be obtained or would be obtained without substantial conditions or that if such approvals were not obtained or such other actions were not taken, adverse consequences might not result to Pacira’s business, any of which under certain conditions specified in the Merger Agreement could cause Purchaser to elect to terminate the Offer without the purchase of Shares thereunder. See Section 15—“Conditions to the Offer.”</w:t>
      </w:r>
    </w:p>
    <w:p>
      <w:pPr>
        <w:spacing w:after="0" w:line="3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State Takeover Statutes.</w:t>
      </w:r>
    </w:p>
    <w:p>
      <w:pPr>
        <w:spacing w:after="0" w:line="119" w:lineRule="exact"/>
        <w:rPr>
          <w:sz w:val="20"/>
          <w:szCs w:val="20"/>
          <w:color w:val="auto"/>
        </w:rPr>
      </w:pPr>
    </w:p>
    <w:p>
      <w:pPr>
        <w:ind w:left="300" w:right="339" w:firstLine="360"/>
        <w:spacing w:after="0" w:line="256" w:lineRule="auto"/>
        <w:rPr>
          <w:sz w:val="20"/>
          <w:szCs w:val="20"/>
          <w:color w:val="auto"/>
        </w:rPr>
      </w:pPr>
      <w:r>
        <w:rPr>
          <w:rFonts w:ascii="Times New Roman" w:cs="Times New Roman" w:eastAsia="Times New Roman" w:hAnsi="Times New Roman"/>
          <w:sz w:val="18"/>
          <w:szCs w:val="18"/>
          <w:color w:val="auto"/>
        </w:rPr>
        <w:t>A number of states (including Delaware, where Pacira is incorporated) have adopted laws that purport, to varying degrees, to apply to attempts to acquire securities of corporations that are incorporated in, or that have substantial assets, stockholders, principal executive offices or principal places of business in those states or whose business operations otherwise have substantial economic effects in such states. Pacira, directly or through subsidiaries, conducts business in a number of states throughout the United States, some of which have enacted such laws.</w:t>
      </w:r>
    </w:p>
    <w:p>
      <w:pPr>
        <w:spacing w:after="0" w:line="79" w:lineRule="exact"/>
        <w:rPr>
          <w:sz w:val="20"/>
          <w:szCs w:val="20"/>
          <w:color w:val="auto"/>
        </w:rPr>
      </w:pPr>
    </w:p>
    <w:p>
      <w:pPr>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As a Delaware corporation, Pacira has not opted out of Section 203 of the DGCL. In general, Section 203 of the DGCL prevents certain “business combinations” (defined to include mergers and certain other actions) with an “interested stockholder” (generally, any person who owns or has the right to acquire 15% or more of a corporation’s outstanding voting stock) for a period of three (3) years following the time such person became an interested stockholder, unless, among other things, prior to the time the interested stockholder became such, the board of directors of the corporation approved either the business combination or the transaction in which the interested stockholder became such.</w:t>
      </w:r>
    </w:p>
    <w:p>
      <w:pPr>
        <w:spacing w:after="0" w:line="81" w:lineRule="exact"/>
        <w:rPr>
          <w:sz w:val="20"/>
          <w:szCs w:val="20"/>
          <w:color w:val="auto"/>
        </w:rPr>
      </w:pPr>
    </w:p>
    <w:p>
      <w:pPr>
        <w:ind w:left="300" w:right="419" w:firstLine="360"/>
        <w:spacing w:after="0" w:line="253" w:lineRule="auto"/>
        <w:rPr>
          <w:sz w:val="20"/>
          <w:szCs w:val="20"/>
          <w:color w:val="auto"/>
        </w:rPr>
      </w:pPr>
      <w:r>
        <w:rPr>
          <w:rFonts w:ascii="Times New Roman" w:cs="Times New Roman" w:eastAsia="Times New Roman" w:hAnsi="Times New Roman"/>
          <w:sz w:val="18"/>
          <w:szCs w:val="18"/>
          <w:color w:val="auto"/>
        </w:rPr>
        <w:t>Pacira has represented to Purchaser and Viatris that, assuming the accuracy of certain representations and warranties of Viatris and Purchaser regarding their ownership of Pacira capital stock, the Pacira Board has taken all actions so that the restrictions applicable to business combinations contained in Section 203 of the DGCL and any other state takeover laws are inapplicable to the execution, delivery and performance of the Merger Agreement and to the consummation of the Offer, the Merger and the other transactions contemplated thereby. Purchaser is not aware of any other state takeover laws or regulations which are applicable to the Offer or the Merger and has not attempted to comply with any other state takeover laws or regulations. If any government official or third party should seek to apply any state takeover law to the Offer or the Merger or other business combination between Purchaser or any of its affiliates and Pacira, Purchaser will take such action as then appears desirable, which action may include challenging the applicability or validity of such statute in appropriate court proceedings. In the event it is asserted that one or more state takeover statutes is applicable to the Offer or the Merger and an appropriate court does not determine that it is inapplicable or invalid as applied to the Offer or the Merger, Purchaser might be</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9" w:name="page60"/>
    <w:bookmarkEnd w:id="5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99"/>
        <w:spacing w:after="0" w:line="261" w:lineRule="auto"/>
        <w:rPr>
          <w:sz w:val="20"/>
          <w:szCs w:val="20"/>
          <w:color w:val="auto"/>
        </w:rPr>
      </w:pPr>
      <w:r>
        <w:rPr>
          <w:rFonts w:ascii="Times New Roman" w:cs="Times New Roman" w:eastAsia="Times New Roman" w:hAnsi="Times New Roman"/>
          <w:sz w:val="18"/>
          <w:szCs w:val="18"/>
          <w:color w:val="auto"/>
        </w:rPr>
        <w:t>required to file certain information with, or to receive approvals from, the relevant state authorities or holders of Shares, and Purchaser might be unable to accept for payment or pay for Shares tendered pursuant to the Offer, or be delayed in continuing or consummating the Offer or the Merger. In that case, Purchaser may not be obligated to accept for purchase, or pay for, any Shares tendered. See Section 15—“Conditions to the Offer.”</w:t>
      </w:r>
    </w:p>
    <w:p>
      <w:pPr>
        <w:spacing w:after="0" w:line="70" w:lineRule="exact"/>
        <w:rPr>
          <w:sz w:val="20"/>
          <w:szCs w:val="20"/>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United States Antitrust Compliance. </w:t>
      </w:r>
      <w:r>
        <w:rPr>
          <w:rFonts w:ascii="Times New Roman" w:cs="Times New Roman" w:eastAsia="Times New Roman" w:hAnsi="Times New Roman"/>
          <w:sz w:val="18"/>
          <w:szCs w:val="18"/>
          <w:color w:val="auto"/>
        </w:rPr>
        <w:t>Under the HSR Act, certain transactions may not be consummated until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information and documents have been furnished to the U.S. Federal Trade Commission (the “FTC”) and the Antitrust Division of the U.S. Department of Justice (the “Antitrust Division”) and certain waiting period requirements have been satisfied. The requirements of the HSR Act apply to Purchaser’s acquisition of Shares in the Offer and the Merger.</w:t>
      </w:r>
    </w:p>
    <w:p>
      <w:pPr>
        <w:spacing w:after="0" w:line="77" w:lineRule="exact"/>
        <w:rPr>
          <w:sz w:val="20"/>
          <w:szCs w:val="20"/>
          <w:color w:val="auto"/>
        </w:rPr>
      </w:pPr>
    </w:p>
    <w:p>
      <w:pPr>
        <w:ind w:left="300" w:right="319" w:firstLine="360"/>
        <w:spacing w:after="0" w:line="252" w:lineRule="auto"/>
        <w:rPr>
          <w:sz w:val="20"/>
          <w:szCs w:val="20"/>
          <w:color w:val="auto"/>
        </w:rPr>
      </w:pPr>
      <w:r>
        <w:rPr>
          <w:rFonts w:ascii="Times New Roman" w:cs="Times New Roman" w:eastAsia="Times New Roman" w:hAnsi="Times New Roman"/>
          <w:sz w:val="18"/>
          <w:szCs w:val="18"/>
          <w:color w:val="auto"/>
        </w:rPr>
        <w:t>Under the HSR Act, the purchase of Shares in the Offer may not be completed until the expiration of a 15-calendar-day waiting period, unless the waiting period is terminated earlier, extended for an additional 15 days due to Viatris voluntarily withdrawing and refiling or extended by a request for additional information or documentary material (a “Second Request”). If the FTC or Antitrust Division issues a Second Request prior to the expiration of the initial waiting period, the waiting period would be extended until 11:59 p.m., Eastern Time, on the tenth calendar day after the date of substantial compliance by Viatris with such Second Request, unless the waiting period is terminated earlier or the parties otherwise agree not to consummate the Offer for a certain period of time. The purchase of Shares in the Offer is subject to the provisions of the HSR Act and therefore cannot be completed until Pacira and Viatris each file a notification and report form with the FTC and the Antitrust Division and the applicable waiting period has expired or been terminated. Pacira and Viatris made the necessary filings with the FTC and the Antitrust Division on October 14, 2026. The Merger will not require an additional filing under the HSR Act if Purchaser owns more than 50% of the outstanding Shares at the time of the Merger (which Purchaser expects to be the case if the Offer is consummated, given the Minimum Condition) or if the Merger occurs within one year after the HSR Act waiting period applicable to the Offer expires or is terminated. The required waiting period under the HSR Act applicable to the Offer and the consummation of the Merger expired at 11:59 p.m., Eastern Time, on October 29, 2026, and there is no voluntary agreement between Viatris, on the one hand, and the FTC or the Antitrust Division, on the other hand, pursuant to which the parties have agreed not to consummate the Offer or the Merger. Accordingly, the Regulatory Condition has been satisfied.</w:t>
      </w:r>
    </w:p>
    <w:p>
      <w:pPr>
        <w:spacing w:after="0" w:line="84" w:lineRule="exact"/>
        <w:rPr>
          <w:sz w:val="20"/>
          <w:szCs w:val="20"/>
          <w:color w:val="auto"/>
        </w:rPr>
      </w:pPr>
    </w:p>
    <w:p>
      <w:pPr>
        <w:ind w:left="300" w:right="379" w:firstLine="360"/>
        <w:spacing w:after="0" w:line="253" w:lineRule="auto"/>
        <w:rPr>
          <w:sz w:val="20"/>
          <w:szCs w:val="20"/>
          <w:color w:val="auto"/>
        </w:rPr>
      </w:pPr>
      <w:r>
        <w:rPr>
          <w:rFonts w:ascii="Times New Roman" w:cs="Times New Roman" w:eastAsia="Times New Roman" w:hAnsi="Times New Roman"/>
          <w:sz w:val="18"/>
          <w:szCs w:val="18"/>
          <w:color w:val="auto"/>
        </w:rPr>
        <w:t>At any time before or after the purchase of Shares by Purchaser, notwithstanding the termination or expiration of the waiting period under the HSR Act, the FTC or the Antitrust Division could take any action under the antitrust laws, including seeking to enjoin the purchase of Shares in the Offer and the Merger, seeking divestiture of substantial assets of the parties, or requiring the parties to license or hold separate assets or modify or terminate existing relationships and contractual rights, or imposing a restriction, requirement or limitation on the operation of the business. At any time before or after the completion of the purchase of Shares in the Offer, and notwithstanding the termination or expiration of the waiting period under the HSR Act, any state or foreign jurisdiction could take such action under the antitrust laws as it deems necessary or desirable in the public interest. Private parties may also seek to take legal actions under the antitrust laws under certain circumstances. We cannot be certain that a challenge to the purchase of Shares in the Offer will not be made or that, if a challenge is made, we will prevail. See Section 11—“The Transaction Agreements—The Merger Agreement—Reasonable Best Efforts” and Section 15 —“Conditions to the Offer.”</w:t>
      </w:r>
    </w:p>
    <w:p>
      <w:pPr>
        <w:spacing w:after="0" w:line="80" w:lineRule="exact"/>
        <w:rPr>
          <w:sz w:val="20"/>
          <w:szCs w:val="20"/>
          <w:color w:val="auto"/>
        </w:rPr>
      </w:pPr>
    </w:p>
    <w:p>
      <w:pPr>
        <w:ind w:left="300" w:right="35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Foreign Laws. </w:t>
      </w:r>
      <w:r>
        <w:rPr>
          <w:rFonts w:ascii="Times New Roman" w:cs="Times New Roman" w:eastAsia="Times New Roman" w:hAnsi="Times New Roman"/>
          <w:sz w:val="18"/>
          <w:szCs w:val="18"/>
          <w:color w:val="auto"/>
        </w:rPr>
        <w:t>Based on a review of the information currently available relating to the countries and businesses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which Pacira and Viatris are engaged, Viatris and Purchaser are not aware of any material filing or approval in any foreign country that is required in order to consummate the Offer and the Merger.</w:t>
      </w:r>
    </w:p>
    <w:p>
      <w:pPr>
        <w:spacing w:after="0" w:line="65"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Appraisal Rights</w:t>
      </w:r>
      <w:r>
        <w:rPr>
          <w:rFonts w:ascii="Times New Roman" w:cs="Times New Roman" w:eastAsia="Times New Roman" w:hAnsi="Times New Roman"/>
          <w:sz w:val="18"/>
          <w:szCs w:val="18"/>
          <w:color w:val="auto"/>
        </w:rPr>
        <w:t>. No appraisal rights are available to the holders of Shares who tender such Shares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connection with the Offer. However, if the Merger takes place pursuant to Section 251(h) of the DGCL, stockholders or beneficial owners of Shares who hold or own such Shares on the date of the making of the demand for appraisal and continuously through the Effective Time: (i) do not tender their Shares in the Offer (or, if tendered, properly and validly withdraw such Shares prior to the Offer Acceptance Time); (ii) otherwise comply with the applicable requirements and procedures of Section 262 of the DGCL; (iii) do not thereafter withdraw their demand for appraisal of such Shares or otherwise lose their appraisal rights, in each case in accordance with the DGCL; and</w:t>
      </w:r>
    </w:p>
    <w:p>
      <w:pPr>
        <w:spacing w:after="0" w:line="5" w:lineRule="exact"/>
        <w:rPr>
          <w:sz w:val="20"/>
          <w:szCs w:val="20"/>
          <w:color w:val="auto"/>
        </w:rPr>
      </w:pPr>
    </w:p>
    <w:p>
      <w:pPr>
        <w:ind w:left="300" w:right="359" w:hanging="8"/>
        <w:spacing w:after="0" w:line="273" w:lineRule="auto"/>
        <w:tabs>
          <w:tab w:leader="none" w:pos="605"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a beneficial owner, have submitted a demand that (A) reasonably identifies the holder of record of the shares for which the demand is made, (B) is accompanied by documentary evidence of such beneficial owner’s beneficial ownership and a statement that such documentary evidence is a true and correct copy of what it purports to be and (C) provides an address at which such beneficial owner consents to receive notices given by the Surviving</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0" w:name="page61"/>
    <w:bookmarkEnd w:id="6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59"/>
        <w:spacing w:after="0" w:line="254" w:lineRule="auto"/>
        <w:rPr>
          <w:sz w:val="20"/>
          <w:szCs w:val="20"/>
          <w:color w:val="auto"/>
        </w:rPr>
      </w:pPr>
      <w:r>
        <w:rPr>
          <w:rFonts w:ascii="Times New Roman" w:cs="Times New Roman" w:eastAsia="Times New Roman" w:hAnsi="Times New Roman"/>
          <w:sz w:val="18"/>
          <w:szCs w:val="18"/>
          <w:color w:val="auto"/>
        </w:rPr>
        <w:t>Corporation and to be set forth on the verified list to be filed with the Register in Chancery in the Delaware Court of Chancery (the “Delaware Court”), will be entitled to demand appraisal of their Shares and receive, in lieu of the consideration payable in the Merger, a cash payment equal to the “fair value” of their Shares, as determined by the Delaware Court, in accordance with Section 262 of the DGCL, exclusive of any element of value arising from the accomplishment or expectation of the Merger, plus interest (unless the Delaware Court in its discretion determines otherwise for good cause shown), if any, on the amount determined to be the fair value. This value may be the same, more or less than the price that Purchaser is offering to pay you in the Offer and the Merger. Moreover, the Surviving Corporation may argue in an appraisal proceeding that, for purposes of such a proceeding, the fair value of such Shares is less than the price paid in the Offer and the Merger.</w:t>
      </w:r>
    </w:p>
    <w:p>
      <w:pPr>
        <w:spacing w:after="0" w:line="80" w:lineRule="exact"/>
        <w:rPr>
          <w:sz w:val="20"/>
          <w:szCs w:val="20"/>
          <w:color w:val="auto"/>
        </w:rPr>
      </w:pPr>
    </w:p>
    <w:p>
      <w:pPr>
        <w:ind w:left="300" w:right="399" w:firstLine="360"/>
        <w:spacing w:after="0" w:line="261" w:lineRule="auto"/>
        <w:rPr>
          <w:sz w:val="20"/>
          <w:szCs w:val="20"/>
          <w:color w:val="auto"/>
        </w:rPr>
      </w:pPr>
      <w:r>
        <w:rPr>
          <w:rFonts w:ascii="Times New Roman" w:cs="Times New Roman" w:eastAsia="Times New Roman" w:hAnsi="Times New Roman"/>
          <w:sz w:val="18"/>
          <w:szCs w:val="18"/>
          <w:color w:val="auto"/>
        </w:rPr>
        <w:t>The following is intended as a brief summary of the material provisions of the Delaware statutory procedures required to be followed by a holder or beneficial owner of Shares to exercise appraisal rights in connection with the Merger, does not constitute any legal or other advice and does not constitute a recommendation that holders of Shares exercise their appraisal rights under Section 262 of the DGCL.</w:t>
      </w:r>
    </w:p>
    <w:p>
      <w:pPr>
        <w:spacing w:after="0" w:line="72" w:lineRule="exact"/>
        <w:rPr>
          <w:sz w:val="20"/>
          <w:szCs w:val="20"/>
          <w:color w:val="auto"/>
        </w:rPr>
      </w:pPr>
    </w:p>
    <w:p>
      <w:pPr>
        <w:ind w:left="300" w:right="319" w:firstLine="360"/>
        <w:spacing w:after="0" w:line="269" w:lineRule="auto"/>
        <w:rPr>
          <w:sz w:val="20"/>
          <w:szCs w:val="20"/>
          <w:color w:val="auto"/>
        </w:rPr>
      </w:pPr>
      <w:r>
        <w:rPr>
          <w:rFonts w:ascii="Times New Roman" w:cs="Times New Roman" w:eastAsia="Times New Roman" w:hAnsi="Times New Roman"/>
          <w:sz w:val="17"/>
          <w:szCs w:val="17"/>
          <w:color w:val="auto"/>
        </w:rPr>
        <w:t>Pursuant to Section 262 of the DGCL, where a merger is approved pursuant to Section 251(h) of the DGCL, either a constituent corporation before the effective date of the merger, or the surviving corporation within ten days thereafter, will notify each of the holders of any class or series of stock of such constituent corporation who are entitled to appraisal rights of the approval of the merger and that appraisal rights are available for any or all shares of such class or series of stock of such constituent corporation, and will include in such notice a copy of Section 262.</w:t>
      </w:r>
    </w:p>
    <w:p>
      <w:pPr>
        <w:spacing w:after="0" w:line="3" w:lineRule="exact"/>
        <w:rPr>
          <w:sz w:val="20"/>
          <w:szCs w:val="20"/>
          <w:color w:val="auto"/>
        </w:rPr>
      </w:pPr>
    </w:p>
    <w:p>
      <w:pPr>
        <w:ind w:left="300" w:right="339"/>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The Schedule 14D-9 constitutes the formal notice by Pacira to its stockholders of appraisal rights in connection with the Merger under Section 262 of the DGCL. </w:t>
      </w:r>
      <w:r>
        <w:rPr>
          <w:rFonts w:ascii="Times New Roman" w:cs="Times New Roman" w:eastAsia="Times New Roman" w:hAnsi="Times New Roman"/>
          <w:sz w:val="18"/>
          <w:szCs w:val="18"/>
          <w:color w:val="auto"/>
        </w:rPr>
        <w:t>Any holder or beneficial owner of Shares who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wishes to exercise such appraisal rights or who wishes to preserve his, her or its right to do so, should review the discussion of appraisal rights in the Schedule 14D-9 as well as Section 262 of the DGCL carefully because failure to timely and properly comply with the procedures specified may result in the loss of appraisal rights under the DGCL. The full text of Section 262 of the DGCL may be accessed without subscription or cost at the following publicly available website: https://delcode.delaware.gov/title8/c001/sc09/index.html#262.</w:t>
      </w:r>
    </w:p>
    <w:p>
      <w:pPr>
        <w:spacing w:after="0" w:line="80" w:lineRule="exact"/>
        <w:rPr>
          <w:sz w:val="20"/>
          <w:szCs w:val="20"/>
          <w:color w:val="auto"/>
        </w:rPr>
      </w:pPr>
    </w:p>
    <w:p>
      <w:pPr>
        <w:ind w:left="300" w:right="799" w:firstLine="360"/>
        <w:spacing w:after="0" w:line="282" w:lineRule="auto"/>
        <w:rPr>
          <w:sz w:val="20"/>
          <w:szCs w:val="20"/>
          <w:color w:val="auto"/>
        </w:rPr>
      </w:pPr>
      <w:r>
        <w:rPr>
          <w:rFonts w:ascii="Times New Roman" w:cs="Times New Roman" w:eastAsia="Times New Roman" w:hAnsi="Times New Roman"/>
          <w:sz w:val="18"/>
          <w:szCs w:val="18"/>
          <w:color w:val="auto"/>
        </w:rPr>
        <w:t>Any stockholder or beneficial owner wishing to exercise appraisal rights is urged to consult legal counsel before attempting to exercise such rights.</w:t>
      </w:r>
    </w:p>
    <w:p>
      <w:pPr>
        <w:spacing w:after="0" w:line="54" w:lineRule="exact"/>
        <w:rPr>
          <w:sz w:val="20"/>
          <w:szCs w:val="20"/>
          <w:color w:val="auto"/>
        </w:rPr>
      </w:pPr>
    </w:p>
    <w:p>
      <w:pPr>
        <w:ind w:left="300" w:right="339" w:firstLine="360"/>
        <w:spacing w:after="0" w:line="266" w:lineRule="auto"/>
        <w:rPr>
          <w:sz w:val="20"/>
          <w:szCs w:val="20"/>
          <w:color w:val="auto"/>
        </w:rPr>
      </w:pPr>
      <w:r>
        <w:rPr>
          <w:rFonts w:ascii="Times New Roman" w:cs="Times New Roman" w:eastAsia="Times New Roman" w:hAnsi="Times New Roman"/>
          <w:sz w:val="18"/>
          <w:szCs w:val="18"/>
          <w:color w:val="auto"/>
        </w:rPr>
        <w:t>As described more fully in the Schedule 14D-9, if a Pacira stockholder or beneficial owner elects to exercise appraisal rights under Section 262 of the DGCL with respect to Shares held immediately prior to the Effective Time, such stockholder or beneficial owner must do all of the following:</w:t>
      </w:r>
    </w:p>
    <w:p>
      <w:pPr>
        <w:spacing w:after="0" w:line="68" w:lineRule="exact"/>
        <w:rPr>
          <w:sz w:val="20"/>
          <w:szCs w:val="20"/>
          <w:color w:val="auto"/>
        </w:rPr>
      </w:pPr>
    </w:p>
    <w:p>
      <w:pPr>
        <w:ind w:left="1000" w:right="339" w:hanging="348"/>
        <w:spacing w:after="0" w:line="256" w:lineRule="auto"/>
        <w:tabs>
          <w:tab w:leader="none" w:pos="10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the later of the consummation of the Offer, which will occur on the date on which acceptance and payment for Shares occurs, and twenty days after the date of mailing of the notice of appraisal rights in the Schedule 14D-9, properly deliver to Pacira at the address indicated in the Schedule 14D-9, an effective demand in writing for appraisal of such Shares, which demand must reasonably inform Pacira of the identity of the stockholder or beneficial owner and that the stockholder or beneficial owner is demanding appraisal;</w:t>
      </w:r>
    </w:p>
    <w:p>
      <w:pPr>
        <w:spacing w:after="0" w:line="79" w:lineRule="exact"/>
        <w:rPr>
          <w:rFonts w:ascii="Times New Roman" w:cs="Times New Roman" w:eastAsia="Times New Roman" w:hAnsi="Times New Roman"/>
          <w:sz w:val="18"/>
          <w:szCs w:val="18"/>
          <w:color w:val="auto"/>
        </w:rPr>
      </w:pPr>
    </w:p>
    <w:p>
      <w:pPr>
        <w:ind w:left="1000" w:right="699" w:hanging="348"/>
        <w:spacing w:after="0" w:line="282" w:lineRule="auto"/>
        <w:tabs>
          <w:tab w:leader="none" w:pos="10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tender such Shares in the Offer (or if already tendered, properly and validly withdraw such Shares prior to the Offer Acceptance Time);</w:t>
      </w:r>
    </w:p>
    <w:p>
      <w:pPr>
        <w:spacing w:after="0" w:line="53" w:lineRule="exact"/>
        <w:rPr>
          <w:rFonts w:ascii="Times New Roman" w:cs="Times New Roman" w:eastAsia="Times New Roman" w:hAnsi="Times New Roman"/>
          <w:sz w:val="18"/>
          <w:szCs w:val="18"/>
          <w:color w:val="auto"/>
        </w:rPr>
      </w:pPr>
    </w:p>
    <w:p>
      <w:pPr>
        <w:ind w:left="1000" w:right="539" w:hanging="348"/>
        <w:spacing w:after="0" w:line="282" w:lineRule="auto"/>
        <w:tabs>
          <w:tab w:leader="none" w:pos="10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continuously hold of record or beneficially own such Shares from the date on which the written demand for appraisal is made through the Effective Time;</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the procedures of Section 262 of the DGCL for perfecting appraisal rights thereafter;</w:t>
      </w:r>
    </w:p>
    <w:p>
      <w:pPr>
        <w:spacing w:after="0" w:line="117" w:lineRule="exact"/>
        <w:rPr>
          <w:rFonts w:ascii="Times New Roman" w:cs="Times New Roman" w:eastAsia="Times New Roman" w:hAnsi="Times New Roman"/>
          <w:sz w:val="18"/>
          <w:szCs w:val="18"/>
          <w:color w:val="auto"/>
        </w:rPr>
      </w:pPr>
    </w:p>
    <w:p>
      <w:pPr>
        <w:ind w:left="1000" w:right="419" w:hanging="348"/>
        <w:spacing w:after="0" w:line="256" w:lineRule="auto"/>
        <w:tabs>
          <w:tab w:leader="none" w:pos="10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Pacira or another holder or beneficial owner of Shares (or any other person who is the beneficial owner of Shares held either in a voting trust or by a nominee on behalf of such person) who has complied with the requirements of Section 262 of the DGCL and who is otherwise entitled to appraisal rights has done so, file a petition in the Delaware Court demanding a determination of the fair value of the Shares entitled to appraisal within 120 days after the Effective Time. Pacira is under no obligation to file any petition and has no intention of doing so; and</w:t>
      </w:r>
    </w:p>
    <w:p>
      <w:pPr>
        <w:spacing w:after="0" w:line="79" w:lineRule="exact"/>
        <w:rPr>
          <w:rFonts w:ascii="Times New Roman" w:cs="Times New Roman" w:eastAsia="Times New Roman" w:hAnsi="Times New Roman"/>
          <w:sz w:val="18"/>
          <w:szCs w:val="18"/>
          <w:color w:val="auto"/>
        </w:rPr>
      </w:pPr>
    </w:p>
    <w:p>
      <w:pPr>
        <w:ind w:left="1000" w:right="599" w:hanging="348"/>
        <w:spacing w:after="0" w:line="312" w:lineRule="auto"/>
        <w:tabs>
          <w:tab w:leader="none" w:pos="100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a beneficial owner, the demand must (A) reasonably identify the holder of record of the shares for which the demand is made, (B) be accompanied by documentary evidence of such beneficial</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1" w:name="page62"/>
    <w:bookmarkEnd w:id="6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20" w:right="299"/>
        <w:spacing w:after="0" w:line="261" w:lineRule="auto"/>
        <w:rPr>
          <w:sz w:val="20"/>
          <w:szCs w:val="20"/>
          <w:color w:val="auto"/>
        </w:rPr>
      </w:pPr>
      <w:r>
        <w:rPr>
          <w:rFonts w:ascii="Times New Roman" w:cs="Times New Roman" w:eastAsia="Times New Roman" w:hAnsi="Times New Roman"/>
          <w:sz w:val="18"/>
          <w:szCs w:val="18"/>
          <w:color w:val="auto"/>
        </w:rPr>
        <w:t>owner’s beneficial ownership and a statement that such documentary evidence is a true and correct copy of what it purports to be and (C) provide an address at which such beneficial owner consents to receive notices given by the Surviving Corporation and to be set forth on the verified list to be filed with the Register in Chancery in the Delaware Court.</w:t>
      </w:r>
    </w:p>
    <w:p>
      <w:pPr>
        <w:spacing w:after="0" w:line="68" w:lineRule="exact"/>
        <w:rPr>
          <w:sz w:val="20"/>
          <w:szCs w:val="20"/>
          <w:color w:val="auto"/>
        </w:rPr>
      </w:pPr>
    </w:p>
    <w:p>
      <w:pPr>
        <w:ind w:left="300" w:right="359" w:firstLine="360"/>
        <w:spacing w:after="0" w:line="253" w:lineRule="auto"/>
        <w:rPr>
          <w:sz w:val="20"/>
          <w:szCs w:val="20"/>
          <w:color w:val="auto"/>
        </w:rPr>
      </w:pPr>
      <w:r>
        <w:rPr>
          <w:rFonts w:ascii="Times New Roman" w:cs="Times New Roman" w:eastAsia="Times New Roman" w:hAnsi="Times New Roman"/>
          <w:sz w:val="18"/>
          <w:szCs w:val="18"/>
          <w:b w:val="1"/>
          <w:bCs w:val="1"/>
          <w:color w:val="auto"/>
        </w:rPr>
        <w:t>The foregoing summary of the appraisal rights of Pacira stockholders and beneficial owners under the DGCL does not purport to be a complete statement of the procedures to be followed by Pacira stockholders or beneficial owners desiring to exercise any appraisal rights available thereunder and is qualified in its entirety by reference to Section 262 of the DGCL. If any holder or beneficial owner of Shares has failed to perfect or has effectively withdrawn or lost such holder’s or beneficial owner’s right to appraisal and payment under the DGCL, such holder’s or beneficial owner’s Shares will be deemed to have been converted as of the Effective Time into the right to receive the Offer Price. The preservation and proper exercise of appraisal rights requires strict and timely adherence to the applicable provisions of the DGCL. Failure to fully and precisely follow the steps required by Section 262 of the DGCL for the perfection of appraisal rights may result in the loss of those rights. The full text of Section 262 of the DGCL may be accessed without subscription or cost at the following publicly available website: https://delcode.delaware.gov/title8/c001/sc09/index.html#262.</w:t>
      </w:r>
    </w:p>
    <w:p>
      <w:pPr>
        <w:spacing w:after="0" w:line="82" w:lineRule="exact"/>
        <w:rPr>
          <w:sz w:val="20"/>
          <w:szCs w:val="20"/>
          <w:color w:val="auto"/>
        </w:rPr>
      </w:pPr>
    </w:p>
    <w:p>
      <w:pPr>
        <w:jc w:val="both"/>
        <w:ind w:left="300" w:right="539" w:firstLine="360"/>
        <w:spacing w:after="0" w:line="282" w:lineRule="auto"/>
        <w:rPr>
          <w:sz w:val="20"/>
          <w:szCs w:val="20"/>
          <w:color w:val="auto"/>
        </w:rPr>
      </w:pPr>
      <w:r>
        <w:rPr>
          <w:rFonts w:ascii="Times New Roman" w:cs="Times New Roman" w:eastAsia="Times New Roman" w:hAnsi="Times New Roman"/>
          <w:sz w:val="17"/>
          <w:szCs w:val="17"/>
          <w:b w:val="1"/>
          <w:bCs w:val="1"/>
          <w:color w:val="auto"/>
        </w:rPr>
        <w:t>Appraisal rights cannot be exercised at this time. The information provided above is for informational purposes only with respect to your alternatives if the Merger is consummated. If you tender your Shares in the Offer, you will not be entitled to exercise appraisal rights with respect to your Shares but, instead, upon the terms and subject to the Offer Conditions, you will receive the Offer Price for your Shares.</w:t>
      </w:r>
    </w:p>
    <w:p>
      <w:pPr>
        <w:spacing w:after="0" w:line="55" w:lineRule="exact"/>
        <w:rPr>
          <w:sz w:val="20"/>
          <w:szCs w:val="20"/>
          <w:color w:val="auto"/>
        </w:rPr>
      </w:pPr>
    </w:p>
    <w:p>
      <w:pPr>
        <w:ind w:left="300" w:right="399"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“Going Private” Transactions. </w:t>
      </w:r>
      <w:r>
        <w:rPr>
          <w:rFonts w:ascii="Times New Roman" w:cs="Times New Roman" w:eastAsia="Times New Roman" w:hAnsi="Times New Roman"/>
          <w:sz w:val="18"/>
          <w:szCs w:val="18"/>
          <w:color w:val="auto"/>
        </w:rPr>
        <w:t>The SEC has adopted Rule 13e-3 under the Exchange Act, which is applicable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certain “going private” transactions, and which may under certain circumstances be applicable to the Merger or another business combination following the purchase of Shares pursuant to the Offer in which Purchaser seeks to acquire the remaining Shares not then held by us. Purchaser believes that Rule 13e-3 under the Exchange Act will not be applicable to the Merger because (i) Purchaser was not, at the time the Merger Agreement was executed, and is not, an affiliate of Pacira for purposes of the Exchange Act, (ii) Purchaser anticipates that the Merger will be effected as soon as practicable after the consummation of the Offer (and in any event within one year following the consummation of the Offer) and (iii) in the Merger, stockholders will receive the same price per Share as the Offer Price.</w:t>
      </w:r>
    </w:p>
    <w:p>
      <w:pPr>
        <w:spacing w:after="0" w:line="80" w:lineRule="exact"/>
        <w:rPr>
          <w:sz w:val="20"/>
          <w:szCs w:val="20"/>
          <w:color w:val="auto"/>
        </w:rPr>
      </w:pPr>
    </w:p>
    <w:p>
      <w:pPr>
        <w:ind w:left="300" w:right="61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Litigation. </w:t>
      </w:r>
      <w:r>
        <w:rPr>
          <w:rFonts w:ascii="Times New Roman" w:cs="Times New Roman" w:eastAsia="Times New Roman" w:hAnsi="Times New Roman"/>
          <w:sz w:val="18"/>
          <w:szCs w:val="18"/>
          <w:color w:val="auto"/>
        </w:rPr>
        <w:t>To the knowledge of Viatris and Purchaser, as of October 29, 2026, there is no pending litigation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against Viatris, Purchaser or Pacira in connection with the Merger or the Offer.</w:t>
      </w:r>
    </w:p>
    <w:p>
      <w:pPr>
        <w:spacing w:after="0" w:line="50" w:lineRule="exact"/>
        <w:rPr>
          <w:sz w:val="20"/>
          <w:szCs w:val="20"/>
          <w:color w:val="auto"/>
        </w:rPr>
      </w:pPr>
    </w:p>
    <w:p>
      <w:pPr>
        <w:jc w:val="both"/>
        <w:ind w:left="300" w:right="399" w:firstLine="360"/>
        <w:spacing w:after="0" w:line="273" w:lineRule="auto"/>
        <w:rPr>
          <w:sz w:val="20"/>
          <w:szCs w:val="20"/>
          <w:color w:val="auto"/>
        </w:rPr>
      </w:pPr>
      <w:r>
        <w:rPr>
          <w:rFonts w:ascii="Times New Roman" w:cs="Times New Roman" w:eastAsia="Times New Roman" w:hAnsi="Times New Roman"/>
          <w:sz w:val="17"/>
          <w:szCs w:val="17"/>
          <w:i w:val="1"/>
          <w:iCs w:val="1"/>
          <w:color w:val="auto"/>
        </w:rPr>
        <w:t xml:space="preserve">Stockholder Approval Not Required. </w:t>
      </w:r>
      <w:r>
        <w:rPr>
          <w:rFonts w:ascii="Times New Roman" w:cs="Times New Roman" w:eastAsia="Times New Roman" w:hAnsi="Times New Roman"/>
          <w:sz w:val="17"/>
          <w:szCs w:val="17"/>
          <w:color w:val="auto"/>
        </w:rPr>
        <w:t>Section 251(h) of the DGCL generally provides that stockholder approval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a merger is not required if certain requirements are met, including that (i) the acquiring company consummates a tender offer for any and all of the outstanding common stock of the company to be acquired that, absent</w:t>
      </w:r>
    </w:p>
    <w:p>
      <w:pPr>
        <w:spacing w:after="0" w:line="1" w:lineRule="exact"/>
        <w:rPr>
          <w:sz w:val="20"/>
          <w:szCs w:val="20"/>
          <w:color w:val="auto"/>
        </w:rPr>
      </w:pPr>
    </w:p>
    <w:p>
      <w:pPr>
        <w:ind w:left="300" w:right="319"/>
        <w:spacing w:after="0" w:line="251" w:lineRule="auto"/>
        <w:rPr>
          <w:sz w:val="20"/>
          <w:szCs w:val="20"/>
          <w:color w:val="auto"/>
        </w:rPr>
      </w:pPr>
      <w:r>
        <w:rPr>
          <w:rFonts w:ascii="Times New Roman" w:cs="Times New Roman" w:eastAsia="Times New Roman" w:hAnsi="Times New Roman"/>
          <w:sz w:val="18"/>
          <w:szCs w:val="18"/>
          <w:color w:val="auto"/>
        </w:rPr>
        <w:t>Section 251(h) of the DGCL, would be entitled to vote on the adoption of the merger agreement, and (ii) following the consummation of such tender offer, the acquiring company owns at least such percentage of the stock of the company to be acquired that, absent Section 251(h) of the DGCL, would be required to adopt the merger. If the Minimum Condition is satisfied and Purchaser accepts Shares for payment pursuant to the Offer, Purchaser will hold a sufficient number of Shares to consummate the Merger under Section 251(h) of the DGCL without submitting the adoption of the Merger Agreement to a vote of the Pacira stockholders. As soon as practicable following the consummation of the Offer, and subject to the satisfaction or waiver of the remaining conditions set forth in the Merger Agreement, Viatris, Purchaser and Pacira will take all necessary action to cause the Merger to become effective without a meeting of Pacira stockholders in accordance with Section 251(h) of the DGCL.</w:t>
      </w:r>
    </w:p>
    <w:p>
      <w:pPr>
        <w:spacing w:after="0" w:line="1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17.  Fees and Expenses.</w:t>
      </w:r>
    </w:p>
    <w:p>
      <w:pPr>
        <w:spacing w:after="0" w:line="121" w:lineRule="exact"/>
        <w:rPr>
          <w:sz w:val="20"/>
          <w:szCs w:val="20"/>
          <w:color w:val="auto"/>
        </w:rPr>
      </w:pPr>
    </w:p>
    <w:p>
      <w:pPr>
        <w:ind w:left="300" w:right="479" w:firstLine="360"/>
        <w:spacing w:after="0" w:line="258" w:lineRule="auto"/>
        <w:rPr>
          <w:sz w:val="20"/>
          <w:szCs w:val="20"/>
          <w:color w:val="auto"/>
        </w:rPr>
      </w:pPr>
      <w:r>
        <w:rPr>
          <w:rFonts w:ascii="Times New Roman" w:cs="Times New Roman" w:eastAsia="Times New Roman" w:hAnsi="Times New Roman"/>
          <w:sz w:val="18"/>
          <w:szCs w:val="18"/>
          <w:color w:val="auto"/>
        </w:rPr>
        <w:t>Viatris and Purchaser have retained Innisfree M&amp;A Incorporated to act as the Information Agent and Equiniti Trust Company, LLC to act as the Depositary in connection with the Offer. The Information Agent may contact holders of Shares by mail, telephone, telecopy, telegraph and personal interview and may request brokers, dealers, commercial banks, trust companies and other nominees to forward materials relating to the Offer to beneficial owners of Shares.</w:t>
      </w:r>
    </w:p>
    <w:p>
      <w:pPr>
        <w:spacing w:after="0" w:line="75" w:lineRule="exact"/>
        <w:rPr>
          <w:sz w:val="20"/>
          <w:szCs w:val="20"/>
          <w:color w:val="auto"/>
        </w:rPr>
      </w:pPr>
    </w:p>
    <w:p>
      <w:pPr>
        <w:ind w:left="300" w:right="339" w:firstLine="360"/>
        <w:spacing w:after="0" w:line="266" w:lineRule="auto"/>
        <w:rPr>
          <w:sz w:val="20"/>
          <w:szCs w:val="20"/>
          <w:color w:val="auto"/>
        </w:rPr>
      </w:pPr>
      <w:r>
        <w:rPr>
          <w:rFonts w:ascii="Times New Roman" w:cs="Times New Roman" w:eastAsia="Times New Roman" w:hAnsi="Times New Roman"/>
          <w:sz w:val="18"/>
          <w:szCs w:val="18"/>
          <w:color w:val="auto"/>
        </w:rPr>
        <w:t>The Information Agent and the Depositary each will receive reasonable and customary compensation for their respective services in connection with the Offer, will be reimbursed for reasonable expenses and will be indemnified against certain liabilities and expenses in connection therewith.</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2" w:name="page63"/>
    <w:bookmarkEnd w:id="6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79" w:firstLine="360"/>
        <w:spacing w:after="0" w:line="258" w:lineRule="auto"/>
        <w:rPr>
          <w:sz w:val="20"/>
          <w:szCs w:val="20"/>
          <w:color w:val="auto"/>
        </w:rPr>
      </w:pPr>
      <w:r>
        <w:rPr>
          <w:rFonts w:ascii="Times New Roman" w:cs="Times New Roman" w:eastAsia="Times New Roman" w:hAnsi="Times New Roman"/>
          <w:sz w:val="18"/>
          <w:szCs w:val="18"/>
          <w:color w:val="auto"/>
        </w:rPr>
        <w:t>Neither Viatris nor Purchaser will pay any fees or commissions to any broker or dealer or to any other person (other than to the Depositary and the Information Agent) in connection with the solicitation of tenders of Shares pursuant to the Offer. Brokers, dealers, commercial banks, trust companies and other nominees will, upon request, be reimbursed by Purchaser for customary mailing and handling expenses incurred by them in forwarding offering materials to their customers.</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18.  Miscellaneous.</w:t>
      </w:r>
    </w:p>
    <w:p>
      <w:pPr>
        <w:spacing w:after="0" w:line="121"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The Offer is not being made to holders of Shares in any jurisdiction in which the making of the Offer would not be in compliance with the securities, blue sky or other laws of such jurisdiction. In those jurisdictions where applicable laws or regulations require the Offer to be made by a licensed broker or dealer, the Offer will be deemed to be made on behalf of Purchaser by one or more registered brokers or dealers licensed under the laws of such jurisdiction to be designated by Purchaser.</w:t>
      </w:r>
    </w:p>
    <w:p>
      <w:pPr>
        <w:spacing w:after="0" w:line="71" w:lineRule="exact"/>
        <w:rPr>
          <w:sz w:val="20"/>
          <w:szCs w:val="20"/>
          <w:color w:val="auto"/>
        </w:rPr>
      </w:pPr>
    </w:p>
    <w:p>
      <w:pPr>
        <w:ind w:left="300" w:right="39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No person has been authorized to give any information or to make any representation on behalf of Viatris or Purchaser not contained herein or in the Letter of Transmittal, and, if given or made, such information or representation must not be relied upon as having been authorized. No broker, dealer, bank, trust company, fiduciary or other person will be deemed to be the agent of Viatris, Purchaser, the Depositary or the Information Agent for the purpose of the Offer.</w:t>
      </w:r>
    </w:p>
    <w:p>
      <w:pPr>
        <w:spacing w:after="0" w:line="75" w:lineRule="exact"/>
        <w:rPr>
          <w:sz w:val="20"/>
          <w:szCs w:val="20"/>
          <w:color w:val="auto"/>
        </w:rPr>
      </w:pPr>
    </w:p>
    <w:p>
      <w:pPr>
        <w:ind w:left="300" w:right="339" w:firstLine="360"/>
        <w:spacing w:after="0" w:line="255" w:lineRule="auto"/>
        <w:rPr>
          <w:sz w:val="20"/>
          <w:szCs w:val="20"/>
          <w:color w:val="auto"/>
        </w:rPr>
      </w:pPr>
      <w:r>
        <w:rPr>
          <w:rFonts w:ascii="Times New Roman" w:cs="Times New Roman" w:eastAsia="Times New Roman" w:hAnsi="Times New Roman"/>
          <w:sz w:val="18"/>
          <w:szCs w:val="18"/>
          <w:color w:val="auto"/>
        </w:rPr>
        <w:t>Viatris and Purchaser have filed with the SEC a Tender Offer Statement on Schedule TO pursuant to Rule 14d-3 of the Exchange Act, together with exhibits furnishing certain additional information with respect to the Offer, and may file amendments thereto. In addition, Pacira has filed with the SEC a Schedule 14D-9, together with exhibits, pursuant to Rule 14d-9 under the Exchange Act, setting forth the Pacira Board Recommendation and the reasons for such Pacira Board Recommendation and furnishing certain additional related information. A copy of such documents, and any amendments thereto, may be examined at, and copies may be obtained from, the SEC in the manner set forth under Section 8—“Certain Information Concerning Viatris and Purchaser.”</w:t>
      </w:r>
    </w:p>
    <w:p>
      <w:pPr>
        <w:spacing w:after="0" w:line="229"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Peach Purchaser Sub Inc.</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October 30, 2026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3" w:name="page64"/>
    <w:bookmarkEnd w:id="6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I — INFORMATION RELATING TO VIATRIS AND PURCHASER</w:t>
      </w:r>
    </w:p>
    <w:p>
      <w:pPr>
        <w:spacing w:after="0" w:line="25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u w:val="single" w:color="auto"/>
          <w:color w:val="auto"/>
        </w:rPr>
        <w:t>Viatris</w:t>
      </w:r>
    </w:p>
    <w:p>
      <w:pPr>
        <w:spacing w:after="0" w:line="121" w:lineRule="exact"/>
        <w:rPr>
          <w:sz w:val="20"/>
          <w:szCs w:val="20"/>
          <w:color w:val="auto"/>
        </w:rPr>
      </w:pPr>
    </w:p>
    <w:p>
      <w:pPr>
        <w:ind w:left="300" w:right="319"/>
        <w:spacing w:after="0" w:line="266" w:lineRule="auto"/>
        <w:rPr>
          <w:sz w:val="20"/>
          <w:szCs w:val="20"/>
          <w:color w:val="auto"/>
        </w:rPr>
      </w:pPr>
      <w:r>
        <w:rPr>
          <w:rFonts w:ascii="Times New Roman" w:cs="Times New Roman" w:eastAsia="Times New Roman" w:hAnsi="Times New Roman"/>
          <w:sz w:val="18"/>
          <w:szCs w:val="18"/>
          <w:color w:val="auto"/>
        </w:rPr>
        <w:t>The following table sets forth information about Viatris’ directors and executive officers as of October 29, 2026. The current business address of each person is c/o Viatris Inc., 1000 Mylan Boulevard, Canonsburg, PA 15317, and the business telephone number is (724) 514-1800.</w:t>
      </w:r>
    </w:p>
    <w:p>
      <w:pPr>
        <w:spacing w:after="0" w:line="19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1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Pr>
          <w:p>
            <w:pPr>
              <w:spacing w:after="0"/>
              <w:rPr>
                <w:sz w:val="16"/>
                <w:szCs w:val="16"/>
                <w:color w:val="auto"/>
              </w:rPr>
            </w:pPr>
          </w:p>
        </w:tc>
        <w:tc>
          <w:tcPr>
            <w:tcW w:w="150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Citizenship</w:t>
            </w:r>
          </w:p>
        </w:tc>
        <w:tc>
          <w:tcPr>
            <w:tcW w:w="220" w:type="dxa"/>
            <w:vAlign w:val="bottom"/>
          </w:tcPr>
          <w:p>
            <w:pPr>
              <w:spacing w:after="0"/>
              <w:rPr>
                <w:sz w:val="16"/>
                <w:szCs w:val="16"/>
                <w:color w:val="auto"/>
              </w:rPr>
            </w:pPr>
          </w:p>
        </w:tc>
        <w:tc>
          <w:tcPr>
            <w:tcW w:w="4760" w:type="dxa"/>
            <w:vAlign w:val="bottom"/>
          </w:tcPr>
          <w:p>
            <w:pPr>
              <w:ind w:left="1820"/>
              <w:spacing w:after="0"/>
              <w:rPr>
                <w:sz w:val="20"/>
                <w:szCs w:val="20"/>
                <w:color w:val="auto"/>
              </w:rPr>
            </w:pPr>
            <w:r>
              <w:rPr>
                <w:rFonts w:ascii="Times New Roman" w:cs="Times New Roman" w:eastAsia="Times New Roman" w:hAnsi="Times New Roman"/>
                <w:sz w:val="14"/>
                <w:szCs w:val="14"/>
                <w:b w:val="1"/>
                <w:bCs w:val="1"/>
                <w:color w:val="auto"/>
              </w:rPr>
              <w:t>Position at Viatris</w:t>
            </w:r>
          </w:p>
        </w:tc>
      </w:tr>
      <w:tr>
        <w:trPr>
          <w:trHeight w:val="23"/>
        </w:trPr>
        <w:tc>
          <w:tcPr>
            <w:tcW w:w="17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r>
      <w:tr>
        <w:trPr>
          <w:trHeight w:val="218"/>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W. Don Cornwell</w:t>
            </w:r>
          </w:p>
        </w:tc>
        <w:tc>
          <w:tcPr>
            <w:tcW w:w="220" w:type="dxa"/>
            <w:vAlign w:val="bottom"/>
          </w:tcPr>
          <w:p>
            <w:pPr>
              <w:spacing w:after="0"/>
              <w:rPr>
                <w:sz w:val="18"/>
                <w:szCs w:val="18"/>
                <w:color w:val="auto"/>
              </w:rPr>
            </w:pPr>
          </w:p>
        </w:tc>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Director; Member, Audit Committee; Member, Compliance and</w:t>
            </w:r>
          </w:p>
        </w:tc>
      </w:tr>
      <w:tr>
        <w:trPr>
          <w:trHeight w:val="216"/>
        </w:trPr>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Risk Oversight Committee; Member, Governance and</w:t>
            </w:r>
          </w:p>
        </w:tc>
      </w:tr>
      <w:tr>
        <w:trPr>
          <w:trHeight w:val="234"/>
        </w:trPr>
        <w:tc>
          <w:tcPr>
            <w:tcW w:w="1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Sustainability Committee</w:t>
            </w:r>
          </w:p>
        </w:tc>
      </w:tr>
      <w:tr>
        <w:trPr>
          <w:trHeight w:val="225"/>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Frank D’Amelio</w:t>
            </w:r>
          </w:p>
        </w:tc>
        <w:tc>
          <w:tcPr>
            <w:tcW w:w="220" w:type="dxa"/>
            <w:vAlign w:val="bottom"/>
          </w:tcPr>
          <w:p>
            <w:pPr>
              <w:spacing w:after="0"/>
              <w:rPr>
                <w:sz w:val="19"/>
                <w:szCs w:val="19"/>
                <w:color w:val="auto"/>
              </w:rPr>
            </w:pPr>
          </w:p>
        </w:tc>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Director; Chair, Compensation Committee; Member, Finance</w:t>
            </w:r>
          </w:p>
        </w:tc>
      </w:tr>
      <w:tr>
        <w:trPr>
          <w:trHeight w:val="234"/>
        </w:trPr>
        <w:tc>
          <w:tcPr>
            <w:tcW w:w="1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Committee</w:t>
            </w:r>
          </w:p>
        </w:tc>
      </w:tr>
      <w:tr>
        <w:trPr>
          <w:trHeight w:val="225"/>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JoEllen Lyons Dillon</w:t>
            </w:r>
          </w:p>
        </w:tc>
        <w:tc>
          <w:tcPr>
            <w:tcW w:w="220" w:type="dxa"/>
            <w:vAlign w:val="bottom"/>
          </w:tcPr>
          <w:p>
            <w:pPr>
              <w:spacing w:after="0"/>
              <w:rPr>
                <w:sz w:val="19"/>
                <w:szCs w:val="19"/>
                <w:color w:val="auto"/>
              </w:rPr>
            </w:pPr>
          </w:p>
        </w:tc>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Director; Member, Audit Committee; Member, Compensation</w:t>
            </w:r>
          </w:p>
        </w:tc>
      </w:tr>
      <w:tr>
        <w:trPr>
          <w:trHeight w:val="216"/>
        </w:trPr>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Committee; Member, Executive Committee; Chair, Governance</w:t>
            </w:r>
          </w:p>
        </w:tc>
      </w:tr>
      <w:tr>
        <w:trPr>
          <w:trHeight w:val="234"/>
        </w:trPr>
        <w:tc>
          <w:tcPr>
            <w:tcW w:w="1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and Sustainability Committee</w:t>
            </w:r>
          </w:p>
        </w:tc>
      </w:tr>
      <w:tr>
        <w:trPr>
          <w:trHeight w:val="225"/>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Elisha Finney</w:t>
            </w:r>
          </w:p>
        </w:tc>
        <w:tc>
          <w:tcPr>
            <w:tcW w:w="220" w:type="dxa"/>
            <w:vAlign w:val="bottom"/>
          </w:tcPr>
          <w:p>
            <w:pPr>
              <w:spacing w:after="0"/>
              <w:rPr>
                <w:sz w:val="19"/>
                <w:szCs w:val="19"/>
                <w:color w:val="auto"/>
              </w:rPr>
            </w:pPr>
          </w:p>
        </w:tc>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Director; Member, Audit Committee; Member, Finance</w:t>
            </w:r>
          </w:p>
        </w:tc>
      </w:tr>
      <w:tr>
        <w:trPr>
          <w:trHeight w:val="234"/>
        </w:trPr>
        <w:tc>
          <w:tcPr>
            <w:tcW w:w="1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Committee</w:t>
            </w:r>
          </w:p>
        </w:tc>
      </w:tr>
      <w:tr>
        <w:trPr>
          <w:trHeight w:val="225"/>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Leo Groothuis</w:t>
            </w:r>
          </w:p>
        </w:tc>
        <w:tc>
          <w:tcPr>
            <w:tcW w:w="220" w:type="dxa"/>
            <w:vAlign w:val="bottom"/>
          </w:tcPr>
          <w:p>
            <w:pPr>
              <w:spacing w:after="0"/>
              <w:rPr>
                <w:sz w:val="19"/>
                <w:szCs w:val="19"/>
                <w:color w:val="auto"/>
              </w:rPr>
            </w:pPr>
          </w:p>
        </w:tc>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Netherlands</w:t>
            </w:r>
          </w:p>
        </w:tc>
        <w:tc>
          <w:tcPr>
            <w:tcW w:w="2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Director; Member, Compliance and Risk Oversight Committee;</w:t>
            </w:r>
          </w:p>
        </w:tc>
      </w:tr>
      <w:tr>
        <w:trPr>
          <w:trHeight w:val="216"/>
        </w:trPr>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Member, Executive Committee; Member, Governance and</w:t>
            </w:r>
          </w:p>
        </w:tc>
      </w:tr>
      <w:tr>
        <w:trPr>
          <w:trHeight w:val="234"/>
        </w:trPr>
        <w:tc>
          <w:tcPr>
            <w:tcW w:w="1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Sustainability Committee</w:t>
            </w:r>
          </w:p>
        </w:tc>
      </w:tr>
      <w:tr>
        <w:trPr>
          <w:trHeight w:val="225"/>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Melina Higgins</w:t>
            </w:r>
          </w:p>
        </w:tc>
        <w:tc>
          <w:tcPr>
            <w:tcW w:w="220" w:type="dxa"/>
            <w:vAlign w:val="bottom"/>
          </w:tcPr>
          <w:p>
            <w:pPr>
              <w:spacing w:after="0"/>
              <w:rPr>
                <w:sz w:val="19"/>
                <w:szCs w:val="19"/>
                <w:color w:val="auto"/>
              </w:rPr>
            </w:pPr>
          </w:p>
        </w:tc>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Chair, Board; Director; Chair, Executive Committee; Chair,</w:t>
            </w:r>
          </w:p>
        </w:tc>
      </w:tr>
      <w:tr>
        <w:trPr>
          <w:trHeight w:val="234"/>
        </w:trPr>
        <w:tc>
          <w:tcPr>
            <w:tcW w:w="1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Finance Committee</w:t>
            </w:r>
          </w:p>
        </w:tc>
      </w:tr>
      <w:tr>
        <w:trPr>
          <w:trHeight w:val="225"/>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James M. Kilts</w:t>
            </w:r>
          </w:p>
        </w:tc>
        <w:tc>
          <w:tcPr>
            <w:tcW w:w="220" w:type="dxa"/>
            <w:vAlign w:val="bottom"/>
          </w:tcPr>
          <w:p>
            <w:pPr>
              <w:spacing w:after="0"/>
              <w:rPr>
                <w:sz w:val="19"/>
                <w:szCs w:val="19"/>
                <w:color w:val="auto"/>
              </w:rPr>
            </w:pPr>
          </w:p>
        </w:tc>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Director; Member, Compensation Committee; Member, Finance</w:t>
            </w:r>
          </w:p>
        </w:tc>
      </w:tr>
      <w:tr>
        <w:trPr>
          <w:trHeight w:val="234"/>
        </w:trPr>
        <w:tc>
          <w:tcPr>
            <w:tcW w:w="1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Committee</w:t>
            </w:r>
          </w:p>
        </w:tc>
      </w:tr>
      <w:tr>
        <w:trPr>
          <w:trHeight w:val="225"/>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Richard A. Mark</w:t>
            </w:r>
          </w:p>
        </w:tc>
        <w:tc>
          <w:tcPr>
            <w:tcW w:w="220" w:type="dxa"/>
            <w:vAlign w:val="bottom"/>
          </w:tcPr>
          <w:p>
            <w:pPr>
              <w:spacing w:after="0"/>
              <w:rPr>
                <w:sz w:val="19"/>
                <w:szCs w:val="19"/>
                <w:color w:val="auto"/>
              </w:rPr>
            </w:pPr>
          </w:p>
        </w:tc>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Director; Chair, Audit Committee; Member, Finance Committee;</w:t>
            </w:r>
          </w:p>
        </w:tc>
      </w:tr>
      <w:tr>
        <w:trPr>
          <w:trHeight w:val="216"/>
        </w:trPr>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Member, Compliance and Risk Oversight Committee; Member,</w:t>
            </w:r>
          </w:p>
        </w:tc>
      </w:tr>
      <w:tr>
        <w:trPr>
          <w:trHeight w:val="234"/>
        </w:trPr>
        <w:tc>
          <w:tcPr>
            <w:tcW w:w="1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Executive Committee</w:t>
            </w:r>
          </w:p>
        </w:tc>
      </w:tr>
      <w:tr>
        <w:trPr>
          <w:trHeight w:val="225"/>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Mark W. Parrish</w:t>
            </w:r>
          </w:p>
        </w:tc>
        <w:tc>
          <w:tcPr>
            <w:tcW w:w="220" w:type="dxa"/>
            <w:vAlign w:val="bottom"/>
          </w:tcPr>
          <w:p>
            <w:pPr>
              <w:spacing w:after="0"/>
              <w:rPr>
                <w:sz w:val="19"/>
                <w:szCs w:val="19"/>
                <w:color w:val="auto"/>
              </w:rPr>
            </w:pPr>
          </w:p>
        </w:tc>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Vice Chair, Board; Director; Chair, Compliance and Risk</w:t>
            </w:r>
          </w:p>
        </w:tc>
      </w:tr>
      <w:tr>
        <w:trPr>
          <w:trHeight w:val="216"/>
        </w:trPr>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Oversight Committee; Member, Executive Committee; Member,</w:t>
            </w:r>
          </w:p>
        </w:tc>
      </w:tr>
      <w:tr>
        <w:trPr>
          <w:trHeight w:val="216"/>
        </w:trPr>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Governance and Sustainability Committee; Member, Science and</w:t>
            </w:r>
          </w:p>
        </w:tc>
      </w:tr>
      <w:tr>
        <w:trPr>
          <w:trHeight w:val="234"/>
        </w:trPr>
        <w:tc>
          <w:tcPr>
            <w:tcW w:w="1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Technology Committee</w:t>
            </w:r>
          </w:p>
        </w:tc>
      </w:tr>
      <w:tr>
        <w:trPr>
          <w:trHeight w:val="225"/>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Michael Severino</w:t>
            </w:r>
          </w:p>
        </w:tc>
        <w:tc>
          <w:tcPr>
            <w:tcW w:w="220" w:type="dxa"/>
            <w:vAlign w:val="bottom"/>
          </w:tcPr>
          <w:p>
            <w:pPr>
              <w:spacing w:after="0"/>
              <w:rPr>
                <w:sz w:val="19"/>
                <w:szCs w:val="19"/>
                <w:color w:val="auto"/>
              </w:rPr>
            </w:pPr>
          </w:p>
        </w:tc>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Director; Chair, Science and Technology Committee; Member,</w:t>
            </w:r>
          </w:p>
        </w:tc>
      </w:tr>
      <w:tr>
        <w:trPr>
          <w:trHeight w:val="234"/>
        </w:trPr>
        <w:tc>
          <w:tcPr>
            <w:tcW w:w="1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Audit Committee</w:t>
            </w:r>
          </w:p>
        </w:tc>
      </w:tr>
      <w:tr>
        <w:trPr>
          <w:trHeight w:val="225"/>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David Simmons</w:t>
            </w:r>
          </w:p>
        </w:tc>
        <w:tc>
          <w:tcPr>
            <w:tcW w:w="220" w:type="dxa"/>
            <w:vAlign w:val="bottom"/>
          </w:tcPr>
          <w:p>
            <w:pPr>
              <w:spacing w:after="0"/>
              <w:rPr>
                <w:sz w:val="19"/>
                <w:szCs w:val="19"/>
                <w:color w:val="auto"/>
              </w:rPr>
            </w:pPr>
          </w:p>
        </w:tc>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Director; Member, Compensation Committee; Member, Science</w:t>
            </w:r>
          </w:p>
        </w:tc>
      </w:tr>
      <w:tr>
        <w:trPr>
          <w:trHeight w:val="234"/>
        </w:trPr>
        <w:tc>
          <w:tcPr>
            <w:tcW w:w="1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and Technology Committee</w:t>
            </w:r>
          </w:p>
        </w:tc>
      </w:tr>
      <w:tr>
        <w:trPr>
          <w:trHeight w:val="225"/>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Scott A. Smith</w:t>
            </w:r>
          </w:p>
        </w:tc>
        <w:tc>
          <w:tcPr>
            <w:tcW w:w="220" w:type="dxa"/>
            <w:vAlign w:val="bottom"/>
          </w:tcPr>
          <w:p>
            <w:pPr>
              <w:spacing w:after="0"/>
              <w:rPr>
                <w:sz w:val="19"/>
                <w:szCs w:val="19"/>
                <w:color w:val="auto"/>
              </w:rPr>
            </w:pPr>
          </w:p>
        </w:tc>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Canada</w:t>
            </w:r>
          </w:p>
        </w:tc>
        <w:tc>
          <w:tcPr>
            <w:tcW w:w="2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Director; Member, Science and</w:t>
            </w:r>
          </w:p>
        </w:tc>
      </w:tr>
      <w:tr>
        <w:trPr>
          <w:trHeight w:val="234"/>
        </w:trPr>
        <w:tc>
          <w:tcPr>
            <w:tcW w:w="1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Technology Committee</w:t>
            </w:r>
          </w:p>
        </w:tc>
      </w:tr>
      <w:tr>
        <w:trPr>
          <w:trHeight w:val="225"/>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w w:val="98"/>
              </w:rPr>
              <w:t>Rogério Vivaldi Coelho</w:t>
            </w:r>
          </w:p>
        </w:tc>
        <w:tc>
          <w:tcPr>
            <w:tcW w:w="220" w:type="dxa"/>
            <w:vAlign w:val="bottom"/>
          </w:tcPr>
          <w:p>
            <w:pPr>
              <w:spacing w:after="0"/>
              <w:rPr>
                <w:sz w:val="19"/>
                <w:szCs w:val="19"/>
                <w:color w:val="auto"/>
              </w:rPr>
            </w:pPr>
          </w:p>
        </w:tc>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w w:val="98"/>
              </w:rPr>
              <w:t>Brazil; United States</w:t>
            </w:r>
          </w:p>
        </w:tc>
        <w:tc>
          <w:tcPr>
            <w:tcW w:w="2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Director; Member, Compliance and Risk Oversight Committee;</w:t>
            </w:r>
          </w:p>
        </w:tc>
      </w:tr>
      <w:tr>
        <w:trPr>
          <w:trHeight w:val="234"/>
        </w:trPr>
        <w:tc>
          <w:tcPr>
            <w:tcW w:w="1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Member, Science and Technology Committee</w:t>
            </w:r>
          </w:p>
        </w:tc>
      </w:tr>
      <w:tr>
        <w:trPr>
          <w:trHeight w:val="225"/>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Paul Campbell</w:t>
            </w:r>
          </w:p>
        </w:tc>
        <w:tc>
          <w:tcPr>
            <w:tcW w:w="220" w:type="dxa"/>
            <w:vAlign w:val="bottom"/>
          </w:tcPr>
          <w:p>
            <w:pPr>
              <w:spacing w:after="0"/>
              <w:rPr>
                <w:sz w:val="19"/>
                <w:szCs w:val="19"/>
                <w:color w:val="auto"/>
              </w:rPr>
            </w:pPr>
          </w:p>
        </w:tc>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Interim Chief Financial Officer, Chief Accounting Officer &amp;</w:t>
            </w:r>
          </w:p>
        </w:tc>
      </w:tr>
      <w:tr>
        <w:trPr>
          <w:trHeight w:val="234"/>
        </w:trPr>
        <w:tc>
          <w:tcPr>
            <w:tcW w:w="1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Corporate Controller</w:t>
            </w:r>
          </w:p>
        </w:tc>
      </w:tr>
      <w:tr>
        <w:trPr>
          <w:trHeight w:val="243"/>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Andrew Enrietti</w:t>
            </w:r>
          </w:p>
        </w:tc>
        <w:tc>
          <w:tcPr>
            <w:tcW w:w="220" w:type="dxa"/>
            <w:vAlign w:val="bottom"/>
          </w:tcPr>
          <w:p>
            <w:pPr>
              <w:spacing w:after="0"/>
              <w:rPr>
                <w:sz w:val="21"/>
                <w:szCs w:val="21"/>
                <w:color w:val="auto"/>
              </w:rPr>
            </w:pPr>
          </w:p>
        </w:tc>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20" w:type="dxa"/>
            <w:vAlign w:val="bottom"/>
          </w:tcPr>
          <w:p>
            <w:pPr>
              <w:spacing w:after="0"/>
              <w:rPr>
                <w:sz w:val="21"/>
                <w:szCs w:val="21"/>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Chief Administrative and Transformation Officer</w:t>
            </w:r>
          </w:p>
        </w:tc>
      </w:tr>
      <w:tr>
        <w:trPr>
          <w:trHeight w:val="225"/>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Corinne Le Goff</w:t>
            </w:r>
          </w:p>
        </w:tc>
        <w:tc>
          <w:tcPr>
            <w:tcW w:w="220" w:type="dxa"/>
            <w:vAlign w:val="bottom"/>
          </w:tcPr>
          <w:p>
            <w:pPr>
              <w:spacing w:after="0"/>
              <w:rPr>
                <w:sz w:val="19"/>
                <w:szCs w:val="19"/>
                <w:color w:val="auto"/>
              </w:rPr>
            </w:pPr>
          </w:p>
        </w:tc>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France; United</w:t>
            </w:r>
          </w:p>
        </w:tc>
        <w:tc>
          <w:tcPr>
            <w:tcW w:w="2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Chief Commercial Officer</w:t>
            </w:r>
          </w:p>
        </w:tc>
      </w:tr>
      <w:tr>
        <w:trPr>
          <w:trHeight w:val="234"/>
        </w:trPr>
        <w:tc>
          <w:tcPr>
            <w:tcW w:w="1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States</w:t>
            </w:r>
          </w:p>
        </w:tc>
        <w:tc>
          <w:tcPr>
            <w:tcW w:w="220" w:type="dxa"/>
            <w:vAlign w:val="bottom"/>
          </w:tcPr>
          <w:p>
            <w:pPr>
              <w:spacing w:after="0"/>
              <w:rPr>
                <w:sz w:val="20"/>
                <w:szCs w:val="20"/>
                <w:color w:val="auto"/>
              </w:rPr>
            </w:pPr>
          </w:p>
        </w:tc>
        <w:tc>
          <w:tcPr>
            <w:tcW w:w="4760" w:type="dxa"/>
            <w:vAlign w:val="bottom"/>
          </w:tcPr>
          <w:p>
            <w:pPr>
              <w:spacing w:after="0"/>
              <w:rPr>
                <w:sz w:val="20"/>
                <w:szCs w:val="20"/>
                <w:color w:val="auto"/>
              </w:rPr>
            </w:pPr>
          </w:p>
        </w:tc>
      </w:tr>
      <w:tr>
        <w:trPr>
          <w:trHeight w:val="243"/>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Matthew Maletta</w:t>
            </w:r>
          </w:p>
        </w:tc>
        <w:tc>
          <w:tcPr>
            <w:tcW w:w="220" w:type="dxa"/>
            <w:vAlign w:val="bottom"/>
          </w:tcPr>
          <w:p>
            <w:pPr>
              <w:spacing w:after="0"/>
              <w:rPr>
                <w:sz w:val="21"/>
                <w:szCs w:val="21"/>
                <w:color w:val="auto"/>
              </w:rPr>
            </w:pPr>
          </w:p>
        </w:tc>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20" w:type="dxa"/>
            <w:vAlign w:val="bottom"/>
          </w:tcPr>
          <w:p>
            <w:pPr>
              <w:spacing w:after="0"/>
              <w:rPr>
                <w:sz w:val="21"/>
                <w:szCs w:val="21"/>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Chief Legal Officer</w:t>
            </w:r>
          </w:p>
        </w:tc>
      </w:tr>
    </w:tbl>
    <w:p>
      <w:pPr>
        <w:spacing w:after="0" w:line="25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Executive Officers and Directors of Viatris</w:t>
      </w:r>
    </w:p>
    <w:p>
      <w:pPr>
        <w:spacing w:after="0" w:line="25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 DON CORNWELL</w:t>
      </w:r>
    </w:p>
    <w:p>
      <w:pPr>
        <w:spacing w:after="0" w:line="121" w:lineRule="exact"/>
        <w:rPr>
          <w:sz w:val="20"/>
          <w:szCs w:val="20"/>
          <w:color w:val="auto"/>
        </w:rPr>
      </w:pPr>
    </w:p>
    <w:p>
      <w:pPr>
        <w:ind w:left="300" w:right="399"/>
        <w:spacing w:after="0" w:line="281" w:lineRule="auto"/>
        <w:rPr>
          <w:sz w:val="20"/>
          <w:szCs w:val="20"/>
          <w:color w:val="auto"/>
        </w:rPr>
      </w:pPr>
      <w:r>
        <w:rPr>
          <w:rFonts w:ascii="Times New Roman" w:cs="Times New Roman" w:eastAsia="Times New Roman" w:hAnsi="Times New Roman"/>
          <w:sz w:val="17"/>
          <w:szCs w:val="17"/>
          <w:color w:val="auto"/>
        </w:rPr>
        <w:t>Mr. Cornwell has served on the Viatris Board since November 2020. Mr. Cornwell served as Chairman and Chief Executive Officer of Granite Broadcasting Corporation, which he founded, from 1988 until 2009, and as Vice Chair in 2009. Prior to founding Granite Broadcasting, Mr. Cornwell joined Goldman, Sachs &amp; Co. in 1971, where he served as Vice President, Investment Banking from 1976 to 1988 and as Chief Operating Officer of the Corporate</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4" w:name="page65"/>
    <w:bookmarkEnd w:id="6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spacing w:after="0" w:line="254" w:lineRule="auto"/>
        <w:rPr>
          <w:sz w:val="20"/>
          <w:szCs w:val="20"/>
          <w:color w:val="auto"/>
        </w:rPr>
      </w:pPr>
      <w:r>
        <w:rPr>
          <w:rFonts w:ascii="Times New Roman" w:cs="Times New Roman" w:eastAsia="Times New Roman" w:hAnsi="Times New Roman"/>
          <w:sz w:val="18"/>
          <w:szCs w:val="18"/>
          <w:color w:val="auto"/>
        </w:rPr>
        <w:t>Finance Department from 1980 to 1988. Mr. Cornwell served on the board of directors of American International Group, Inc. from 2011 to 2024, most recently as a member of the Audit and Nominating and Corporate Governance Committees; Natura &amp; Co Holding S.A. from 2020 to 2023; Avon Products, Inc. from 2002 until its acquisition by Natura in 2020, including as Lead Independent Director; and Pfizer Inc. (“Pfizer”) from 1997 to 2020, most recently as Chair of the Regulatory and Compliance Committee and a member of the Governance and Sustainability Committee. Mr. Cornwell also serves as Vice Chairman and Lead Director of the board of directors of Blue Meridian Partners, a partnership of philanthropists that invests in strategies to impact social problems confronting young people and families in poverty, on the Board of Trustees of Occidental College, and in an advisory capacity to Orca Biosystems, Inc., a private biotechnology company.</w:t>
      </w:r>
    </w:p>
    <w:p>
      <w:pPr>
        <w:spacing w:after="0" w:line="2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FRANK D’AMELIO</w:t>
      </w:r>
    </w:p>
    <w:p>
      <w:pPr>
        <w:spacing w:after="0" w:line="121" w:lineRule="exact"/>
        <w:rPr>
          <w:sz w:val="20"/>
          <w:szCs w:val="20"/>
          <w:color w:val="auto"/>
        </w:rPr>
      </w:pPr>
    </w:p>
    <w:p>
      <w:pPr>
        <w:ind w:left="300" w:right="299"/>
        <w:spacing w:after="0" w:line="252" w:lineRule="auto"/>
        <w:rPr>
          <w:sz w:val="20"/>
          <w:szCs w:val="20"/>
          <w:color w:val="auto"/>
        </w:rPr>
      </w:pPr>
      <w:r>
        <w:rPr>
          <w:rFonts w:ascii="Times New Roman" w:cs="Times New Roman" w:eastAsia="Times New Roman" w:hAnsi="Times New Roman"/>
          <w:sz w:val="18"/>
          <w:szCs w:val="18"/>
          <w:color w:val="auto"/>
        </w:rPr>
        <w:t>Mr. D’Amelio has served on the Viatris Board since May 2025. Mr. D’Amelio has served on the board of directors of Humana Inc. since 2003, where he chairs the Audit Committee and serves on the Nominating, Governance &amp; Sustainability Committee; Zoetis Inc. since 2012, where he chairs the Human Resources Committee and serves on the Audit Committee; and Hewlett Packard Enterprise Company since 2023, where he chairs the Integration Committee and serves on the Audit and Finance and Investment Committees. He also serves on the boards of directors of EntityRisk, Inc. and Sail Biomedicines, Inc., and as a Director of the Michael J. Fox Foundation for Parkinson’s Research. Since 2025, Mr. D’Amelio has served as a Strategic Advisor to Formation Bio, and from 2023 to 2024 he served as CFO-in-residence and independent advisor to the Deloitte &amp; Touche LLP CFO Program. Mr. D’Amelio served on the board of directors of Catalent Inc. from 2023 to 2024. From 2007 to 2022,</w:t>
      </w:r>
    </w:p>
    <w:p>
      <w:pPr>
        <w:spacing w:after="0" w:line="6" w:lineRule="exact"/>
        <w:rPr>
          <w:sz w:val="20"/>
          <w:szCs w:val="20"/>
          <w:color w:val="auto"/>
        </w:rPr>
      </w:pPr>
    </w:p>
    <w:p>
      <w:pPr>
        <w:ind w:left="300" w:right="299"/>
        <w:spacing w:after="0" w:line="252" w:lineRule="auto"/>
        <w:rPr>
          <w:sz w:val="20"/>
          <w:szCs w:val="20"/>
          <w:color w:val="auto"/>
        </w:rPr>
      </w:pPr>
      <w:r>
        <w:rPr>
          <w:rFonts w:ascii="Times New Roman" w:cs="Times New Roman" w:eastAsia="Times New Roman" w:hAnsi="Times New Roman"/>
          <w:sz w:val="18"/>
          <w:szCs w:val="18"/>
          <w:color w:val="auto"/>
        </w:rPr>
        <w:t>Mr. D’Amelio held management roles of increasing responsibility at Pfizer, most recently serving as Executive Vice President and Chief Financial Officer from 2020 to 2022, and previously as Executive Vice President, Global Supply and Business Operations, among other roles. Prior to joining Pfizer, Mr. D’Amelio served as Senior Vice President of Integration and Chief Administrative Officer of Alcatel-Lucent from 2006 to 2007 and held management roles of increasing responsibility at Lucent Technologies Inc. from 2001 to 2006, including Chief Operating Officer and Executive Vice President, Administration and Chief Financial Officer.</w:t>
      </w:r>
    </w:p>
    <w:p>
      <w:pPr>
        <w:spacing w:after="0" w:line="19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JOELLEN LYONS DILLON</w:t>
      </w:r>
    </w:p>
    <w:p>
      <w:pPr>
        <w:spacing w:after="0" w:line="121" w:lineRule="exact"/>
        <w:rPr>
          <w:sz w:val="20"/>
          <w:szCs w:val="20"/>
          <w:color w:val="auto"/>
        </w:rPr>
      </w:pPr>
    </w:p>
    <w:p>
      <w:pPr>
        <w:ind w:left="300" w:right="299"/>
        <w:spacing w:after="0" w:line="267" w:lineRule="auto"/>
        <w:rPr>
          <w:sz w:val="20"/>
          <w:szCs w:val="20"/>
          <w:color w:val="auto"/>
        </w:rPr>
      </w:pPr>
      <w:r>
        <w:rPr>
          <w:rFonts w:ascii="Times New Roman" w:cs="Times New Roman" w:eastAsia="Times New Roman" w:hAnsi="Times New Roman"/>
          <w:sz w:val="17"/>
          <w:szCs w:val="17"/>
          <w:color w:val="auto"/>
        </w:rPr>
        <w:t>Ms. Dillon has served on the Viatris Board since November 2020. From 2013 to 2017, Ms. Dillon served as Chief Legal Officer and Corporate Secretary of The ExOne Company, a global provider of three-dimensional printing machines and printed products, materials, and other services, and from 2014 to 2017 also served as its Executive Vice President, Strategic Developments and Capital Markets. In those roles, she held responsibilities for, among other things, capital markets development, corporate strategic planning, human resources, global compliance, investor relations, and international business development within Europe and Asia. Previously, Ms. Dillon had an almost 25-year legal career in corporate mergers and acquisitions and securities, including as a Partner with Reed Smith LLP, from 2002 to 2011, and with Buchanan Ingersoll &amp; Rooney PC, which she joined in 1988 and where she was a Partner from 1997 to 2002. Ms. Dillon served on the board of directors of World Wrestling Entertainment, Inc. (now known as World Wrestling, LLC) from 2022 to 2023, and on the board of directors of Mylan N.V. (“Mylan”) from 2014 to 2020, most recently as Chair of the Compensation and Governance and Nominating Committees and a member of the Audit, Compliance, and Executive Committees. Ms. Dillon also serves as a Trustee of the</w:t>
      </w:r>
    </w:p>
    <w:p>
      <w:pPr>
        <w:spacing w:after="0" w:line="1" w:lineRule="exact"/>
        <w:rPr>
          <w:sz w:val="20"/>
          <w:szCs w:val="20"/>
          <w:color w:val="auto"/>
        </w:rPr>
      </w:pPr>
    </w:p>
    <w:p>
      <w:pPr>
        <w:ind w:left="300" w:right="679"/>
        <w:spacing w:after="0" w:line="260" w:lineRule="auto"/>
        <w:rPr>
          <w:sz w:val="20"/>
          <w:szCs w:val="20"/>
          <w:color w:val="auto"/>
        </w:rPr>
      </w:pPr>
      <w:r>
        <w:rPr>
          <w:rFonts w:ascii="Times New Roman" w:cs="Times New Roman" w:eastAsia="Times New Roman" w:hAnsi="Times New Roman"/>
          <w:sz w:val="18"/>
          <w:szCs w:val="18"/>
          <w:color w:val="auto"/>
        </w:rPr>
        <w:t>S. K. Rockwell Conservation Fund, a non-profit corporation established to preserve and enhance environmental resources.</w:t>
      </w:r>
    </w:p>
    <w:p>
      <w:pPr>
        <w:spacing w:after="0" w:line="1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ELISHA FINNEY</w:t>
      </w:r>
    </w:p>
    <w:p>
      <w:pPr>
        <w:spacing w:after="0" w:line="121" w:lineRule="exact"/>
        <w:rPr>
          <w:sz w:val="20"/>
          <w:szCs w:val="20"/>
          <w:color w:val="auto"/>
        </w:rPr>
      </w:pPr>
    </w:p>
    <w:p>
      <w:pPr>
        <w:ind w:left="300" w:right="339"/>
        <w:spacing w:after="0" w:line="253" w:lineRule="auto"/>
        <w:rPr>
          <w:sz w:val="20"/>
          <w:szCs w:val="20"/>
          <w:color w:val="auto"/>
        </w:rPr>
      </w:pPr>
      <w:r>
        <w:rPr>
          <w:rFonts w:ascii="Times New Roman" w:cs="Times New Roman" w:eastAsia="Times New Roman" w:hAnsi="Times New Roman"/>
          <w:sz w:val="18"/>
          <w:szCs w:val="18"/>
          <w:color w:val="auto"/>
        </w:rPr>
        <w:t>Ms. Finney has served on the Viatris Board since December 2022. Ms. Finney has served on the board of directors of Mettler-Toledo International Inc. since 2017, where she chairs the Audit Committee, and ICU Medical, Inc. since 2016, where she chairs the Nominating and Governance Committee and serves on the Audit and Compliance Committee. Ms. Finney previously served on the boards of directors of NanoString Technologies, Inc. from 2017 to 2024, where she chaired the Audit Committee; iRobot Corporation from 2017 to 2021, where she served on the Audit and Compensation and Talent Committees; Cutera, Inc. from 2017 to 2019; Altera Corporation from 2011 until its acquisition by Intel Corporation in 2015; and Thoratec Corporation from 2007 to 2013. Ms. Finney joined Varian Medical Systems, Inc. in 1988 and served as its Chief Financial Officer from April 1999 to May 2017 and as Executive Vice President from 2012 to 2017, and previously as Senior Vice President and Vice President of Finance, where she oversaw corporate accounting, corporate communications and investor relations, internal audit, risk management, tax and treasury, and corporate information systems.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5" w:name="page66"/>
    <w:bookmarkEnd w:id="6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LEO GROOTHUIS</w:t>
      </w:r>
    </w:p>
    <w:p>
      <w:pPr>
        <w:spacing w:after="0" w:line="121" w:lineRule="exact"/>
        <w:rPr>
          <w:sz w:val="20"/>
          <w:szCs w:val="20"/>
          <w:color w:val="auto"/>
        </w:rPr>
      </w:pPr>
    </w:p>
    <w:p>
      <w:pPr>
        <w:ind w:left="300" w:right="339"/>
        <w:spacing w:after="0" w:line="276" w:lineRule="auto"/>
        <w:rPr>
          <w:sz w:val="20"/>
          <w:szCs w:val="20"/>
          <w:color w:val="auto"/>
        </w:rPr>
      </w:pPr>
      <w:r>
        <w:rPr>
          <w:rFonts w:ascii="Times New Roman" w:cs="Times New Roman" w:eastAsia="Times New Roman" w:hAnsi="Times New Roman"/>
          <w:sz w:val="17"/>
          <w:szCs w:val="17"/>
          <w:color w:val="auto"/>
        </w:rPr>
        <w:t>Mr. Groothuis has served on the Viatris Board since 2023. Since 2022, Mr. Groothuis has served as General Counsel of HAL Holding N.V., a public international investment company listed on the Amsterdam stock exchange.</w:t>
      </w:r>
    </w:p>
    <w:p>
      <w:pPr>
        <w:spacing w:after="0" w:line="1" w:lineRule="exact"/>
        <w:rPr>
          <w:sz w:val="20"/>
          <w:szCs w:val="20"/>
          <w:color w:val="auto"/>
        </w:rPr>
      </w:pPr>
    </w:p>
    <w:p>
      <w:pPr>
        <w:ind w:left="300" w:right="419"/>
        <w:spacing w:after="0" w:line="252" w:lineRule="auto"/>
        <w:rPr>
          <w:sz w:val="20"/>
          <w:szCs w:val="20"/>
          <w:color w:val="auto"/>
        </w:rPr>
      </w:pPr>
      <w:r>
        <w:rPr>
          <w:rFonts w:ascii="Times New Roman" w:cs="Times New Roman" w:eastAsia="Times New Roman" w:hAnsi="Times New Roman"/>
          <w:sz w:val="18"/>
          <w:szCs w:val="18"/>
          <w:color w:val="auto"/>
        </w:rPr>
        <w:t>Since 2025, he has served as a non-executive Director of Koppert Group B.V., a private company that provides natural solutions to cultivate healthier and safer agricultural crops. Mr. Groothuis also serves as a Director of Stichting Continuiteit IHC and B.V. Finance Continuiteit IHC, Dutch entities that together are the sole shareholders of Royal IHC, a private international shipbuilding company. Mr. Groothuis joined NautaDutilh, a law firm, in October 1996 and served as a Partner from 2006 to 2022, where he advised companies in Europe and the U.S. on corporate governance, capital markets, and M&amp;A matters.</w:t>
      </w:r>
    </w:p>
    <w:p>
      <w:pPr>
        <w:spacing w:after="0" w:line="2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MELINA HIGGINS</w:t>
      </w:r>
    </w:p>
    <w:p>
      <w:pPr>
        <w:spacing w:after="0" w:line="121" w:lineRule="exact"/>
        <w:rPr>
          <w:sz w:val="20"/>
          <w:szCs w:val="20"/>
          <w:color w:val="auto"/>
        </w:rPr>
      </w:pPr>
    </w:p>
    <w:p>
      <w:pPr>
        <w:ind w:left="300" w:right="339"/>
        <w:spacing w:after="0" w:line="252" w:lineRule="auto"/>
        <w:rPr>
          <w:sz w:val="20"/>
          <w:szCs w:val="20"/>
          <w:color w:val="auto"/>
        </w:rPr>
      </w:pPr>
      <w:r>
        <w:rPr>
          <w:rFonts w:ascii="Times New Roman" w:cs="Times New Roman" w:eastAsia="Times New Roman" w:hAnsi="Times New Roman"/>
          <w:sz w:val="18"/>
          <w:szCs w:val="18"/>
          <w:color w:val="auto"/>
        </w:rPr>
        <w:t>Ms. Higgins has served on the Viatris Board since November 2020 and as Chair of the Viatris Board since December 2023. Ms. Higgins has served on the board of directors of Genworth Financial Inc. since 2013, as its non-executive Chair since 2021, and as a member of its Audit and Management Development &amp; Compensation Committees. Since 2016, she has also served as a Director and non-executive Chair of the board of Antares Capital Management LLC, a private limited liability company that provides financing solutions for middle market, private equity-backed transactions. Ms. Higgins previously served on the board of directors of Mylan from 2013 to 2020, most recently as Chair of the Finance Committee and a member of the Audit, Compensation, and Executive Committees, and on the board of NextGen Acquisition Corp. II, a special purpose acquisition company, from March 2021 until its merger with Virgin Orbit in December 2021, where she chaired the Nominating and Corporate Governance Committee and served on the Audit and Compensation Committees. Ms. Higgins held senior roles of increasing responsibility at The Goldman Sachs Group, Inc., including Managing Director from 2001 to 2010 and Partner from 2002 to 2010, and served as a member of the Investment Committee of the Principal Investment Area, Head of the Americas for Private Debt, and co-Chairperson of the Investment Advisory Committee for GS Mezzanine Partners funds. Ms. Higgins is a member of the Women’s Leadership Board of Harvard University’s John F. Kennedy School of Government.</w:t>
      </w:r>
    </w:p>
    <w:p>
      <w:pPr>
        <w:spacing w:after="0" w:line="2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JAMES M. KILTS</w:t>
      </w:r>
    </w:p>
    <w:p>
      <w:pPr>
        <w:spacing w:after="0" w:line="121" w:lineRule="exact"/>
        <w:rPr>
          <w:sz w:val="20"/>
          <w:szCs w:val="20"/>
          <w:color w:val="auto"/>
        </w:rPr>
      </w:pPr>
    </w:p>
    <w:p>
      <w:pPr>
        <w:ind w:left="300" w:right="319"/>
        <w:spacing w:after="0" w:line="252" w:lineRule="auto"/>
        <w:rPr>
          <w:sz w:val="20"/>
          <w:szCs w:val="20"/>
          <w:color w:val="auto"/>
        </w:rPr>
      </w:pPr>
      <w:r>
        <w:rPr>
          <w:rFonts w:ascii="Times New Roman" w:cs="Times New Roman" w:eastAsia="Times New Roman" w:hAnsi="Times New Roman"/>
          <w:sz w:val="18"/>
          <w:szCs w:val="18"/>
          <w:color w:val="auto"/>
        </w:rPr>
        <w:t>Mr. Kilts has served on the Viatris Board since November 2020. Mr. Kilts has been a founding Partner of Centerview Capital, a private equity firm, since 2006. He served as Special Advisor to the Board of Conyers Park III Acquisition Corp., a special purpose acquisition company, in 2023, and as its co-Chief Executive Officer from 2021 to 2023. Mr. Kilts has served as non-executive Chairman of Advantage Solutions Inc. since 2020, when it combined with Conyers Park II Acquisition Corp., and previously served as its Lead Director, and has served as Chairman of The Simply Good Foods Company since 2017, where he also serves on the Nominating and Corporate Governance Committee. Mr. Kilts previously served on the boards of directors of Unifi Inc. from 2016 to 2022; Pfizer from 2007 to 2020, most recently as a member of the Compensation Committee; MetLife, Inc. from 2005 to 2020, most recently as Chair of the Compensation Committee and a member of the Governance and Corporate Responsibility Committee; The Procter &amp; Gamble Company from 2005 to 2006; Nielsen Holdings plc from 2006 to 2017, including as Chairman from 2011 to 2013; Nielsen Company B.V. as Chairman from 2009 to 2014; and MeadWestvaco Corporation from 2006 to 2014. He also served as Executive Chairman of Conyers Park II Acquisition Corp. from 2019 to 2020 and as Chairman of Conyers Park Acquisition Corporation from 2016 until its merger with The Simply Good Foods Company in 2017. Mr. Kilts served as Chairman and Chief Executive Officer of The Gillette Company from 2001 until its merger with The Procter &amp; Gamble Company in 2005 and as its President from 2003 to 2005, and as President and Chief Executive Officer of Nabisco Group Holdings Corporation from 1998 until its acquisition by The Philip Morris Companies in 2000.</w:t>
      </w:r>
    </w:p>
    <w:p>
      <w:pPr>
        <w:spacing w:after="0" w:line="24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RICHARD A. MARK C.P.A.</w:t>
      </w:r>
    </w:p>
    <w:p>
      <w:pPr>
        <w:spacing w:after="0" w:line="1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Mr. Mark has served on the Viatris Board since November 2020. Mr. Mark serves on the boards of directors of</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six funds and business development companies in the Goldman Sachs Fund Complex, chairing each of their Audit</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Committees: Goldman Sachs BDC, Inc. (since 2020), Goldman Sachs Private Credit Corp. (since 2022),</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Goldman Sachs Private Middle Market Credit II LLC (since 2025), West Bay BDC LLC (since 2025), Phillip Street</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Middle Market Lending Fund LLC (since 2026) and Silver Capital Holdings LLC (since 2026). He previously</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served on the boards of directors of Goldman Sachs Middle Market Lending Corp. from 2016 until its merger with</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Goldman Sachs BDC, Inc. in 2020 and Goldman Sachs Middle Market Lending Corp. II from 2020 until its merger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6" w:name="page67"/>
    <w:bookmarkEnd w:id="6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59"/>
        <w:spacing w:after="0" w:line="254" w:lineRule="auto"/>
        <w:rPr>
          <w:sz w:val="20"/>
          <w:szCs w:val="20"/>
          <w:color w:val="auto"/>
        </w:rPr>
      </w:pPr>
      <w:r>
        <w:rPr>
          <w:rFonts w:ascii="Times New Roman" w:cs="Times New Roman" w:eastAsia="Times New Roman" w:hAnsi="Times New Roman"/>
          <w:sz w:val="18"/>
          <w:szCs w:val="18"/>
          <w:color w:val="auto"/>
        </w:rPr>
        <w:t>with Goldman Sachs Private Credit Corp. in 2025, chairing each of their Audit Committees. Mr. Mark served on the board of directors of Mylan from 2019 to 2020, most recently as a member of the Audit and Finance Committees, and as Chairman of Katy Industries, Inc. from 2015 to 2016. Mr. Mark was a Partner with Deloitte &amp; Touche LLP from 2002 to 2015, and prior to that held various positions with Arthur Andersen &amp; Co. from 1977 to 2002, including Audit Partner. He also served as a Director of Northwestern Memorial Healthcare from 2014 to 2015 and of Cadence Health from 1993 until its merger with Northwestern in 2014. Mr. Mark serves as a Director and Chair of the Finance Committee of Home Centered Care Institute, a not-for-profit corporation that promotes access to home-based primary care for medically complex patients, and is a former Director of Almost Home Kids, a not-for-profit corporation affiliated with Lurie Children’s Hospital of Chicago.</w:t>
      </w:r>
    </w:p>
    <w:p>
      <w:pPr>
        <w:spacing w:after="0" w:line="26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MARK W. PARRISH</w:t>
      </w:r>
    </w:p>
    <w:p>
      <w:pPr>
        <w:spacing w:after="0" w:line="121" w:lineRule="exact"/>
        <w:rPr>
          <w:sz w:val="20"/>
          <w:szCs w:val="20"/>
          <w:color w:val="auto"/>
        </w:rPr>
      </w:pPr>
    </w:p>
    <w:p>
      <w:pPr>
        <w:ind w:left="300" w:right="359"/>
        <w:spacing w:after="0" w:line="252" w:lineRule="auto"/>
        <w:rPr>
          <w:sz w:val="20"/>
          <w:szCs w:val="20"/>
          <w:color w:val="auto"/>
        </w:rPr>
      </w:pPr>
      <w:r>
        <w:rPr>
          <w:rFonts w:ascii="Times New Roman" w:cs="Times New Roman" w:eastAsia="Times New Roman" w:hAnsi="Times New Roman"/>
          <w:sz w:val="18"/>
          <w:szCs w:val="18"/>
          <w:color w:val="auto"/>
        </w:rPr>
        <w:t>Mr. Parrish has served on the Viatris Board since November 2020 and serves as Vice Chair of the Viatris Board. Mr. Parrish is a former Senior Advisor to Frazier Healthcare Ventures, a healthcare-oriented growth equity firm. He served as Executive Vice Chairman of TridentUSA Health Services, a provider of mobile X-ray and laboratory services to the long-term care industry, from 2018 to 2019, as its Chief Executive Officer from 2008 to 2018 and as its Executive Chairman from 2008 to 2013. In February 2019, TridentUSA filed for protection under Chapter 11 of the U.S. Bankruptcy Code and emerged from bankruptcy in September 2019. From 1993 to 2007, Mr. Parrish held management roles of increasing responsibility with Cardinal Health Inc. and its affiliates, including Chief Executive Officer, Healthcare Supply Chain Services, from 2006 to 2007. Mr. Parrish has served on the board of directors of Omnicell, Inc. since 2013, where he serves on the Audit and Compensation Committees, and on the board of Safecor Health, LLC, a private company that provides unit dose drug packaging services to hospitals and long-term care facilities, since 2022, including as Executive Chair since 2025. Mr. Parrish previously served on the board of directors of Mylan from 2009 to 2020, most recently as Lead Independent Director and Vice Chairman, Chair of the Compliance Committee and a member of the Audit, Executive, Governance and Nominating, and Risk Oversight Committees, and on the boards of Comprehensive Pharmacy Services from 2019 to 2023, Golden State Medical Supply from 2014 until its acquisition by Court Square in 2019 and Silvergate Pharmaceuticals from 2013 to 2019. From 2008 to 2025, Mr. Parrish served as President and Chief Executive Officer of the International Federation of Pharmaceutical Wholesalers, an association of pharmaceutical wholesalers and pharmaceutical supply chain service companies.</w:t>
      </w:r>
    </w:p>
    <w:p>
      <w:pPr>
        <w:spacing w:after="0" w:line="26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MICHAEL SEVERINO</w:t>
      </w:r>
    </w:p>
    <w:p>
      <w:pPr>
        <w:spacing w:after="0" w:line="121" w:lineRule="exact"/>
        <w:rPr>
          <w:sz w:val="20"/>
          <w:szCs w:val="20"/>
          <w:color w:val="auto"/>
        </w:rPr>
      </w:pPr>
    </w:p>
    <w:p>
      <w:pPr>
        <w:ind w:left="300" w:right="339"/>
        <w:spacing w:after="0" w:line="269" w:lineRule="auto"/>
        <w:rPr>
          <w:sz w:val="20"/>
          <w:szCs w:val="20"/>
          <w:color w:val="auto"/>
        </w:rPr>
      </w:pPr>
      <w:r>
        <w:rPr>
          <w:rFonts w:ascii="Times New Roman" w:cs="Times New Roman" w:eastAsia="Times New Roman" w:hAnsi="Times New Roman"/>
          <w:sz w:val="17"/>
          <w:szCs w:val="17"/>
          <w:color w:val="auto"/>
        </w:rPr>
        <w:t>Dr. Severino has served on the Viatris Board since May 2025. Since July 2026, Mr. Severino has served as Chief Executive Officer and Director of Sarepta Therapeutics, Inc., a global biotechnology company. From 2022 to 2026, Dr. Severino served as Chief Executive Officer and a Director of Tessera Therapeutics, Inc., a private biotechnology company focused on genome engineering, and as CEO-Partner of Flagship Pioneering, Inc., a life sciences venture capital company. Dr. Severino has also served on the board of directors of Avantor, Inc. since 2020, where he chairs the Compensation and Human Resources Committee and serves on the Science and Technology Committee, and on the board of directors of Montai Therapeutics, Inc. since 2023. From 2023 to August 2026, Mr. Severino also served on the board of directors of Quotient Therapeutics, Inc. From 2014 to 2022, Dr. Severino held management roles of increasing responsibility at AbbVie Inc., including Vice Chairman and President from 2018 to 2022, and Executive Vice President, Research &amp; Development and Chief Scientific Officer. From 2004 to 2014, he held management roles of increasing responsibility at Amgen Inc., including Senior Vice President, Global Development, and Chief Medical Officer from 2012 to 2014. Dr. Severino is a former Trustee of The Field Museum of Natural History.</w:t>
      </w:r>
    </w:p>
    <w:p>
      <w:pPr>
        <w:spacing w:after="0" w:line="26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DAVID SIMMONS</w:t>
      </w:r>
    </w:p>
    <w:p>
      <w:pPr>
        <w:spacing w:after="0" w:line="121" w:lineRule="exact"/>
        <w:rPr>
          <w:sz w:val="20"/>
          <w:szCs w:val="20"/>
          <w:color w:val="auto"/>
        </w:rPr>
      </w:pPr>
    </w:p>
    <w:p>
      <w:pPr>
        <w:ind w:left="300" w:right="339"/>
        <w:spacing w:after="0" w:line="271" w:lineRule="auto"/>
        <w:rPr>
          <w:sz w:val="20"/>
          <w:szCs w:val="20"/>
          <w:color w:val="auto"/>
        </w:rPr>
      </w:pPr>
      <w:r>
        <w:rPr>
          <w:rFonts w:ascii="Times New Roman" w:cs="Times New Roman" w:eastAsia="Times New Roman" w:hAnsi="Times New Roman"/>
          <w:sz w:val="17"/>
          <w:szCs w:val="17"/>
          <w:color w:val="auto"/>
        </w:rPr>
        <w:t>Mr. Simmons has served on the Viatris Board since August 2025. Since 2023, Mr. Simmons has served as Chief Executive Officer of Caliber Holdings Corporation, a private multi-site operator of auto body collision repair centers, and since 2012 he has served as a Senior Advisor to Abingworth LLP, a life sciences venture capital firm. Mr. Simmons has served on the board of directors of Cordis since 2022. From 2022 to 2023, Mr. Simmons served as Operating Partner of Hellman &amp; Friedman, LLC, a private equity firm. From 2012 to 2022, he served as Chairman and Chief Executive Officer of PPD, Inc., a global contract pharmaceutical research organization acquired by Thermo Fisher Scientific Inc. in 2021. Mr. Simmons previously served as Chairman of Launch Therapeutics, Inc. from 2022 to 2025 and on the boards of directors of Medline Industries, Inc. from 2022 to 2024, Curia Global, Inc. from 2018 to 2020, and Owens &amp; Minor, Inc. from 2013 to 2018. From 1996 to 2012, Mr. Simmons held</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7" w:name="page68"/>
    <w:bookmarkEnd w:id="6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359"/>
        <w:spacing w:after="0" w:line="266" w:lineRule="auto"/>
        <w:rPr>
          <w:sz w:val="20"/>
          <w:szCs w:val="20"/>
          <w:color w:val="auto"/>
        </w:rPr>
      </w:pPr>
      <w:r>
        <w:rPr>
          <w:rFonts w:ascii="Times New Roman" w:cs="Times New Roman" w:eastAsia="Times New Roman" w:hAnsi="Times New Roman"/>
          <w:sz w:val="18"/>
          <w:szCs w:val="18"/>
          <w:color w:val="auto"/>
        </w:rPr>
        <w:t>management roles of increasing responsibility at Pfizer, most recently as President and General Manager, Emerging Markets and Established Products. Mr. Simmons also serves as a Trustee of the David and Melissa Simmons Family Foundation and The Linsly School.</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SCOTT A. SMITH</w:t>
      </w:r>
    </w:p>
    <w:p>
      <w:pPr>
        <w:spacing w:after="0" w:line="121"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color w:val="auto"/>
        </w:rPr>
        <w:t>Mr. Smith has served as Viatris’ Chief Executive Officer since April 1, 2023 and on the Viatris Board since 2022. His responsibilities include leading the daily management and the overall performance of Viatris and executing on the strategies developed in collaboration with the Viatris Board, among other responsibilities. Mr. Smith has also served on the board of directors of BioAtla, Inc., a global biotechnology company, since 2020, and served as its President from 2018 to 2023. Mr. Smith previously served on the boards of directors of Apexigen, Inc. from 2019 until its acquisition by Pyxis Oncology, Inc. in 2023; Titan Pharmaceuticals, Inc. from 2017 to 2020; Triumvira Immunologics, Inc. from 2018 to 2023, where he served as Chairman; Refuge Biotechnologies, Inc. from 2018 to 2022; and F-star Therapeutics, Inc. from 2018 to 2020, where he served as Chairman. From 2008 to 2018, Mr. Smith served as an executive at Celgene Corporation, a global biopharmaceutical company, rising from Senior Vice President and Global Head of Immunology to President of Inflammation and Immunology and, beginning in 2017, President and Chief Operating Officer.</w:t>
      </w:r>
    </w:p>
    <w:p>
      <w:pPr>
        <w:spacing w:after="0" w:line="1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ROGÉRIO VIVALDI COELHO</w:t>
      </w:r>
    </w:p>
    <w:p>
      <w:pPr>
        <w:spacing w:after="0" w:line="121"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color w:val="auto"/>
        </w:rPr>
        <w:t>Dr. Vivaldi has served on the Viatris Board since June 2024. Since 2024, Dr. Vivaldi has served as Founder and Chief Executive Officer of Vivaldi Rare, a provider of pharma and biotech consulting services. Dr. Vivaldi served on the board of directors of Crinetics Pharmaceuticals, Inc. from 2022 until its acquisition by Vertex Pharmaceuticals Incorporated in September 2026. Dr. Vivaldi served as President and Chief Executive Officer and as a Director of Sigilon Therapeutics, Inc., a diabetes cell therapy company, from 2018 until its acquisition by Eli Lilly and Company in 2023. From 2016 until its acquisition by Sanofi in 2018, Dr. Vivaldi served as Executive Vice President and Chief Global Therapeutics Officer of Bioverativ Inc., a biopharmaceutical company focused on therapies for hemophilia and other rare blood disorders. He previously served as Executive Vice President and Chief Commercial Officer of Spark Therapeutics, Inc., a gene therapy company, from 2014 to 2016, and as Chief Executive Officer and a Director of Minerva Neurosciences, Inc., a clinical-stage biopharmaceutical company, from 2013 to 2014. Earlier in his career, Dr. Vivaldi held positions of increasing responsibility at Genzyme Corporation, including President of its rare disease business and its renal and endocrine group and Senior Vice President and General Manager of its Latin America Group.</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PAUL CAMPBELL</w:t>
      </w:r>
    </w:p>
    <w:p>
      <w:pPr>
        <w:spacing w:after="0" w:line="121" w:lineRule="exact"/>
        <w:rPr>
          <w:sz w:val="20"/>
          <w:szCs w:val="20"/>
          <w:color w:val="auto"/>
        </w:rPr>
      </w:pPr>
    </w:p>
    <w:p>
      <w:pPr>
        <w:ind w:left="300" w:right="559"/>
        <w:spacing w:after="0" w:line="254" w:lineRule="auto"/>
        <w:rPr>
          <w:sz w:val="20"/>
          <w:szCs w:val="20"/>
          <w:color w:val="auto"/>
        </w:rPr>
      </w:pPr>
      <w:r>
        <w:rPr>
          <w:rFonts w:ascii="Times New Roman" w:cs="Times New Roman" w:eastAsia="Times New Roman" w:hAnsi="Times New Roman"/>
          <w:sz w:val="18"/>
          <w:szCs w:val="18"/>
          <w:color w:val="auto"/>
        </w:rPr>
        <w:t>Mr. Campbell has served as Viatris’ Interim Chief Financial Officer since May 8, 2026 and Chief Accounting Officer and Corporate Controller since November 16, 2020. He is responsible for oversight of the day-to-day operations of the accounting and finance functions of Viatris, including planning, implementing, and managing Viatris’ finance and accounting activities. Prior to November 2020, Mr. Campbell was Mylan’s Chief Accounting Officer, Senior Vice President and Controller. Before his appointment as Chief Accounting Officer in November 2015, Mr. Campbell served as Mylan’s Senior Vice President and Controller beginning in May 2015, with responsibility for overseeing the company’s accounting and financial operations and reporting, and he previously held roles of increasing responsibility at Mylan since 2002.</w:t>
      </w:r>
    </w:p>
    <w:p>
      <w:pPr>
        <w:spacing w:after="0" w:line="1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ANDREW ENRIETTI</w:t>
      </w:r>
    </w:p>
    <w:p>
      <w:pPr>
        <w:spacing w:after="0" w:line="121" w:lineRule="exact"/>
        <w:rPr>
          <w:sz w:val="20"/>
          <w:szCs w:val="20"/>
          <w:color w:val="auto"/>
        </w:rPr>
      </w:pPr>
    </w:p>
    <w:p>
      <w:pPr>
        <w:ind w:left="300" w:right="339"/>
        <w:spacing w:after="0" w:line="254" w:lineRule="auto"/>
        <w:rPr>
          <w:sz w:val="20"/>
          <w:szCs w:val="20"/>
          <w:color w:val="auto"/>
        </w:rPr>
      </w:pPr>
      <w:r>
        <w:rPr>
          <w:rFonts w:ascii="Times New Roman" w:cs="Times New Roman" w:eastAsia="Times New Roman" w:hAnsi="Times New Roman"/>
          <w:sz w:val="18"/>
          <w:szCs w:val="18"/>
          <w:color w:val="auto"/>
        </w:rPr>
        <w:t>Mr. Enrietti has served as Viatris’ Chief Administrative and Transformation Officer since August 15, 2025. His responsibilities include oversight of Viatris’ Human Relations, Corporate Affairs, IT, Information Security, Business Transformation and Corporate Services. From November 16, 2020 through August 14, 2025, Mr. Enrietti served as Viatris’ Chief People Officer where he led the strategy and execution of HR, global workplaces and real estate. Prior to joining Viatris, he served as Mylan’s Head of Global Total Rewards &amp; HR M&amp;A, with responsibilities that included the design, development and implementation of the company’s global executive and broad-based compensation and equity programs, employee benefit programs and oversight of benefit activities related to corporate M&amp;A and divestitures.</w:t>
      </w:r>
    </w:p>
    <w:p>
      <w:pPr>
        <w:spacing w:after="0" w:line="1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CORINNE LE GOFF</w:t>
      </w:r>
    </w:p>
    <w:p>
      <w:pPr>
        <w:spacing w:after="0" w:line="121" w:lineRule="exact"/>
        <w:rPr>
          <w:sz w:val="20"/>
          <w:szCs w:val="20"/>
          <w:color w:val="auto"/>
        </w:rPr>
      </w:pPr>
    </w:p>
    <w:p>
      <w:pPr>
        <w:ind w:left="300" w:right="499"/>
        <w:spacing w:after="0" w:line="289" w:lineRule="auto"/>
        <w:rPr>
          <w:sz w:val="20"/>
          <w:szCs w:val="20"/>
          <w:color w:val="auto"/>
        </w:rPr>
      </w:pPr>
      <w:r>
        <w:rPr>
          <w:rFonts w:ascii="Times New Roman" w:cs="Times New Roman" w:eastAsia="Times New Roman" w:hAnsi="Times New Roman"/>
          <w:sz w:val="17"/>
          <w:szCs w:val="17"/>
          <w:color w:val="auto"/>
        </w:rPr>
        <w:t>Dr. Le Goff has served as Viatris’ Chief Commercial Officer since April 15, 2024. Her responsibilities include oversight of Viatris’ global commercial organization, including the Developed Markets, Emerging Markets, JANZ and Greater China segments, and Viatris’ Global Commercial functions, including Global Strategic Marketing,</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8" w:name="page69"/>
    <w:bookmarkEnd w:id="6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39"/>
        <w:spacing w:after="0" w:line="272" w:lineRule="auto"/>
        <w:rPr>
          <w:sz w:val="20"/>
          <w:szCs w:val="20"/>
          <w:color w:val="auto"/>
        </w:rPr>
      </w:pPr>
      <w:r>
        <w:rPr>
          <w:rFonts w:ascii="Times New Roman" w:cs="Times New Roman" w:eastAsia="Times New Roman" w:hAnsi="Times New Roman"/>
          <w:sz w:val="17"/>
          <w:szCs w:val="17"/>
          <w:color w:val="auto"/>
        </w:rPr>
        <w:t>Global Market Access and Value, Global Commercial Insights &amp; Analytics, and Global Commercial Development. Prior to joining Viatris, Dr. Le Goff held roles at biotechnology companies, most recently as President, Chief Executive Officer, and Director of Imunon, Inc. (“Imunon”), a clinical stage biotechnology company, from</w:t>
      </w:r>
    </w:p>
    <w:p>
      <w:pPr>
        <w:spacing w:after="0" w:line="2" w:lineRule="exact"/>
        <w:rPr>
          <w:sz w:val="20"/>
          <w:szCs w:val="20"/>
          <w:color w:val="auto"/>
        </w:rPr>
      </w:pPr>
    </w:p>
    <w:p>
      <w:pPr>
        <w:ind w:left="300" w:right="319"/>
        <w:spacing w:after="0" w:line="250" w:lineRule="auto"/>
        <w:rPr>
          <w:sz w:val="20"/>
          <w:szCs w:val="20"/>
          <w:color w:val="auto"/>
        </w:rPr>
      </w:pPr>
      <w:r>
        <w:rPr>
          <w:rFonts w:ascii="Times New Roman" w:cs="Times New Roman" w:eastAsia="Times New Roman" w:hAnsi="Times New Roman"/>
          <w:sz w:val="18"/>
          <w:szCs w:val="18"/>
          <w:color w:val="auto"/>
        </w:rPr>
        <w:t>July 2022 until March 2024, where she led an organizational turnaround and rebranding effort (Imunon was known as Celsion Corporation until September 2022). Prior to Imunon, she was Chief Commercial Officer of Moderna, Inc. from January 2021 through January 2022 and served in various roles at Amgen Inc. from June 2015 to</w:t>
      </w:r>
    </w:p>
    <w:p>
      <w:pPr>
        <w:spacing w:after="0" w:line="1" w:lineRule="exact"/>
        <w:rPr>
          <w:sz w:val="20"/>
          <w:szCs w:val="20"/>
          <w:color w:val="auto"/>
        </w:rPr>
      </w:pPr>
    </w:p>
    <w:p>
      <w:pPr>
        <w:ind w:left="300" w:right="319"/>
        <w:spacing w:after="0" w:line="251" w:lineRule="auto"/>
        <w:rPr>
          <w:sz w:val="20"/>
          <w:szCs w:val="20"/>
          <w:color w:val="auto"/>
        </w:rPr>
      </w:pPr>
      <w:r>
        <w:rPr>
          <w:rFonts w:ascii="Times New Roman" w:cs="Times New Roman" w:eastAsia="Times New Roman" w:hAnsi="Times New Roman"/>
          <w:sz w:val="18"/>
          <w:szCs w:val="18"/>
          <w:color w:val="auto"/>
        </w:rPr>
        <w:t>January 2021, including President of the U.S. business from March 2019 to January 2021, Senior Vice President of Global Product Strategy and Commercial Innovation from June 2018 to March 2019, and President of the Europe Region from June 2015 to May 2018. Dr. Le Goff also held various positions within the Roche Group, a publicly traded Swiss multinational healthcare company, including as President of Roche’s French affiliate from May 2012 to May 2015 and Senior Vice President Global Neuroscience and Rare Diseases Business Unit from 2011 to May 2012. Dr. Le Goff served on the board of directors of Longboard Pharmaceuticals Inc., a clinical-stage biopharmaceutical company from March 2021 until December 2024 when the company was acquired by H. Lundbeck A/S, most recently serving on that company’s Audit and Nominating and Corporate Governance Committees, and previously served on the boards of directors of EuroAPI S.A., which develops, manufactures, markets and distributes APIs and intermediates used in the formulation of medicines for human and veterinary use, from April 2022 to January 2023, Acticor Biotech SAS, a clinical stage biopharmaceutical company, from May 2022 to December 2023, and CFAO Group, a trading company, from October 2014 to October 2020.</w:t>
      </w:r>
    </w:p>
    <w:p>
      <w:pPr>
        <w:spacing w:after="0" w:line="2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MATTHEW MALETTA</w:t>
      </w:r>
    </w:p>
    <w:p>
      <w:pPr>
        <w:spacing w:after="0" w:line="121" w:lineRule="exact"/>
        <w:rPr>
          <w:sz w:val="20"/>
          <w:szCs w:val="20"/>
          <w:color w:val="auto"/>
        </w:rPr>
      </w:pPr>
    </w:p>
    <w:p>
      <w:pPr>
        <w:ind w:left="300" w:right="359"/>
        <w:spacing w:after="0" w:line="253" w:lineRule="auto"/>
        <w:rPr>
          <w:sz w:val="20"/>
          <w:szCs w:val="20"/>
          <w:color w:val="auto"/>
        </w:rPr>
      </w:pPr>
      <w:r>
        <w:rPr>
          <w:rFonts w:ascii="Times New Roman" w:cs="Times New Roman" w:eastAsia="Times New Roman" w:hAnsi="Times New Roman"/>
          <w:sz w:val="18"/>
          <w:szCs w:val="18"/>
          <w:color w:val="auto"/>
        </w:rPr>
        <w:t>Mr. Maletta has served as Viatris’ Chief Legal Officer since February 9, 2026. His responsibilities include oversight of Viatris’ global legal organization, including securities, global contracts, labor and employment, global regulatory, business development, litigation, and intellectual property, and, together with the Compliance and Risk Oversight Committee, overseeing Viatris’ compliance function, among other areas. Prior to joining Viatris, Mr. Maletta served as Par Health Inc.’s (a company spun-off from Mallinckrodt plc following its merger with Endo, Inc.) Chief Legal Officer and Corporate Secretary from August 2025 to January 2026, where he had global responsibility for all legal matters and led that company’s government affairs function. From May 2015 to August 2025, Mr. Maletta served as Executive Vice President and Chief Legal Officer of Endo International plc and its successor Endo, Inc. (collectively, “Endo”) and concurrently served as Corporate Secretary for Endo from June 2020 to August 2025. From 2002 to 2015, Mr. Maletta worked for Allergan Inc., rising to Vice President, Associate General Counsel and Corporate Secretary. In that role, he provided legal support for major transactions, public company compliance and corporate governance, while also supporting business units and corporate functions.</w:t>
      </w:r>
    </w:p>
    <w:p>
      <w:pPr>
        <w:spacing w:after="0" w:line="2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u w:val="single" w:color="auto"/>
          <w:color w:val="auto"/>
        </w:rPr>
        <w:t>Purchaser</w:t>
      </w:r>
    </w:p>
    <w:p>
      <w:pPr>
        <w:spacing w:after="0" w:line="121" w:lineRule="exact"/>
        <w:rPr>
          <w:sz w:val="20"/>
          <w:szCs w:val="20"/>
          <w:color w:val="auto"/>
        </w:rPr>
      </w:pPr>
    </w:p>
    <w:p>
      <w:pPr>
        <w:jc w:val="both"/>
        <w:ind w:left="300" w:right="339"/>
        <w:spacing w:after="0" w:line="266" w:lineRule="auto"/>
        <w:rPr>
          <w:sz w:val="20"/>
          <w:szCs w:val="20"/>
          <w:color w:val="auto"/>
        </w:rPr>
      </w:pPr>
      <w:r>
        <w:rPr>
          <w:rFonts w:ascii="Times New Roman" w:cs="Times New Roman" w:eastAsia="Times New Roman" w:hAnsi="Times New Roman"/>
          <w:sz w:val="18"/>
          <w:szCs w:val="18"/>
          <w:color w:val="auto"/>
        </w:rPr>
        <w:t>The following table sets forth information about Purchaser’s directors and executive officers as of October 29, 2026. The current business address of each person is c/o Viatris Inc., 1000 Mylan Boulevard, Canonsburg, PA 15317, and the business telephone number is (724) 514-1800.</w:t>
      </w:r>
    </w:p>
    <w:p>
      <w:pPr>
        <w:spacing w:after="0" w:line="19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2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0" w:type="dxa"/>
            <w:vAlign w:val="bottom"/>
          </w:tcPr>
          <w:p>
            <w:pPr>
              <w:spacing w:after="0"/>
              <w:rPr>
                <w:sz w:val="16"/>
                <w:szCs w:val="16"/>
                <w:color w:val="auto"/>
              </w:rPr>
            </w:pPr>
          </w:p>
        </w:tc>
        <w:tc>
          <w:tcPr>
            <w:tcW w:w="1740" w:type="dxa"/>
            <w:vAlign w:val="bottom"/>
          </w:tcPr>
          <w:p>
            <w:pPr>
              <w:ind w:left="520"/>
              <w:spacing w:after="0"/>
              <w:rPr>
                <w:sz w:val="20"/>
                <w:szCs w:val="20"/>
                <w:color w:val="auto"/>
              </w:rPr>
            </w:pPr>
            <w:r>
              <w:rPr>
                <w:rFonts w:ascii="Times New Roman" w:cs="Times New Roman" w:eastAsia="Times New Roman" w:hAnsi="Times New Roman"/>
                <w:sz w:val="14"/>
                <w:szCs w:val="14"/>
                <w:b w:val="1"/>
                <w:bCs w:val="1"/>
                <w:color w:val="auto"/>
              </w:rPr>
              <w:t>Citizenship</w:t>
            </w:r>
          </w:p>
        </w:tc>
        <w:tc>
          <w:tcPr>
            <w:tcW w:w="220" w:type="dxa"/>
            <w:vAlign w:val="bottom"/>
          </w:tcPr>
          <w:p>
            <w:pPr>
              <w:spacing w:after="0"/>
              <w:rPr>
                <w:sz w:val="16"/>
                <w:szCs w:val="16"/>
                <w:color w:val="auto"/>
              </w:rPr>
            </w:pPr>
          </w:p>
        </w:tc>
        <w:tc>
          <w:tcPr>
            <w:tcW w:w="4100" w:type="dxa"/>
            <w:vAlign w:val="bottom"/>
          </w:tcPr>
          <w:p>
            <w:pPr>
              <w:ind w:left="1380"/>
              <w:spacing w:after="0"/>
              <w:rPr>
                <w:sz w:val="20"/>
                <w:szCs w:val="20"/>
                <w:color w:val="auto"/>
              </w:rPr>
            </w:pPr>
            <w:r>
              <w:rPr>
                <w:rFonts w:ascii="Times New Roman" w:cs="Times New Roman" w:eastAsia="Times New Roman" w:hAnsi="Times New Roman"/>
                <w:sz w:val="14"/>
                <w:szCs w:val="14"/>
                <w:b w:val="1"/>
                <w:bCs w:val="1"/>
                <w:color w:val="auto"/>
              </w:rPr>
              <w:t>Position at Purchaser</w:t>
            </w:r>
          </w:p>
        </w:tc>
      </w:tr>
      <w:tr>
        <w:trPr>
          <w:trHeight w:val="23"/>
        </w:trPr>
        <w:tc>
          <w:tcPr>
            <w:tcW w:w="21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r>
      <w:tr>
        <w:trPr>
          <w:trHeight w:val="237"/>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Michael Rainerman</w:t>
            </w: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2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Director; President</w:t>
            </w:r>
          </w:p>
        </w:tc>
      </w:tr>
      <w:tr>
        <w:trPr>
          <w:trHeight w:val="243"/>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John Miraglia</w:t>
            </w:r>
          </w:p>
        </w:tc>
        <w:tc>
          <w:tcPr>
            <w:tcW w:w="200" w:type="dxa"/>
            <w:vAlign w:val="bottom"/>
          </w:tcPr>
          <w:p>
            <w:pPr>
              <w:spacing w:after="0"/>
              <w:rPr>
                <w:sz w:val="21"/>
                <w:szCs w:val="21"/>
                <w:color w:val="auto"/>
              </w:rPr>
            </w:pPr>
          </w:p>
        </w:tc>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20" w:type="dxa"/>
            <w:vAlign w:val="bottom"/>
          </w:tcPr>
          <w:p>
            <w:pPr>
              <w:spacing w:after="0"/>
              <w:rPr>
                <w:sz w:val="21"/>
                <w:szCs w:val="21"/>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Director; Treasurer; Secretary</w:t>
            </w:r>
          </w:p>
        </w:tc>
      </w:tr>
    </w:tbl>
    <w:p>
      <w:pPr>
        <w:spacing w:after="0" w:line="25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Executive Officers and Directors of Purchaser</w:t>
      </w:r>
    </w:p>
    <w:p>
      <w:pPr>
        <w:spacing w:after="0" w:line="25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MICHAEL RAINERMAN</w:t>
      </w:r>
    </w:p>
    <w:p>
      <w:pPr>
        <w:spacing w:after="0" w:line="1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Mr. Rainerman has served as Head of Global Tax at Viatris since September 2023. Since October 2026,</w:t>
      </w:r>
    </w:p>
    <w:p>
      <w:pPr>
        <w:spacing w:after="0" w:line="27" w:lineRule="exact"/>
        <w:rPr>
          <w:sz w:val="20"/>
          <w:szCs w:val="20"/>
          <w:color w:val="auto"/>
        </w:rPr>
      </w:pPr>
    </w:p>
    <w:p>
      <w:pPr>
        <w:ind w:left="300" w:right="399"/>
        <w:spacing w:after="0" w:line="253" w:lineRule="auto"/>
        <w:rPr>
          <w:sz w:val="20"/>
          <w:szCs w:val="20"/>
          <w:color w:val="auto"/>
        </w:rPr>
      </w:pPr>
      <w:r>
        <w:rPr>
          <w:rFonts w:ascii="Times New Roman" w:cs="Times New Roman" w:eastAsia="Times New Roman" w:hAnsi="Times New Roman"/>
          <w:sz w:val="18"/>
          <w:szCs w:val="18"/>
          <w:color w:val="auto"/>
        </w:rPr>
        <w:t>Mr. Rainerman has served as a director and as President of Purchaser. From November 2021 to August 2023, Mr. Rainerman served as Senior Director, Global Tax Audits, Controversy and Transfer Pricing and Associate General Tax Counsel of Honeywell Technologies. From June 2006 to November 2021, Mr. Rainerman served as Senior Director, Global Tax Strategy and Planning and Associate General Tax Counsel of Honeywell Technologies.</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JOHN MIRAGLIA</w:t>
      </w:r>
    </w:p>
    <w:p>
      <w:pPr>
        <w:spacing w:after="0" w:line="121" w:lineRule="exact"/>
        <w:rPr>
          <w:sz w:val="20"/>
          <w:szCs w:val="20"/>
          <w:color w:val="auto"/>
        </w:rPr>
      </w:pPr>
    </w:p>
    <w:p>
      <w:pPr>
        <w:ind w:left="300" w:right="1139"/>
        <w:spacing w:after="0" w:line="282" w:lineRule="auto"/>
        <w:rPr>
          <w:sz w:val="20"/>
          <w:szCs w:val="20"/>
          <w:color w:val="auto"/>
        </w:rPr>
      </w:pPr>
      <w:r>
        <w:rPr>
          <w:rFonts w:ascii="Times New Roman" w:cs="Times New Roman" w:eastAsia="Times New Roman" w:hAnsi="Times New Roman"/>
          <w:sz w:val="18"/>
          <w:szCs w:val="18"/>
          <w:color w:val="auto"/>
        </w:rPr>
        <w:t>Mr. Miraglia has served as Head of Global Treasury and Treasurer at Viatris since November 2020. Since October 2026, Mr. Miraglia has served as a director and as Treasurer and Secretary of Purchaser.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9" w:name="page70"/>
    <w:bookmarkEnd w:id="6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439" w:firstLine="360"/>
        <w:spacing w:after="0" w:line="266" w:lineRule="auto"/>
        <w:rPr>
          <w:sz w:val="20"/>
          <w:szCs w:val="20"/>
          <w:color w:val="auto"/>
        </w:rPr>
      </w:pPr>
      <w:r>
        <w:rPr>
          <w:rFonts w:ascii="Times New Roman" w:cs="Times New Roman" w:eastAsia="Times New Roman" w:hAnsi="Times New Roman"/>
          <w:sz w:val="18"/>
          <w:szCs w:val="18"/>
          <w:color w:val="auto"/>
        </w:rPr>
        <w:t>The Letter of Transmittal, any certificates evidencing Shares and any other required documents should be sent or delivered by each stockholder or its, his or her broker, dealer, commercial bank, trust company or other nominee to the Depositary at one of its addresses set forth below:</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Depositary for the Offer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2620010</wp:posOffset>
            </wp:positionH>
            <wp:positionV relativeFrom="paragraph">
              <wp:posOffset>191135</wp:posOffset>
            </wp:positionV>
            <wp:extent cx="488950" cy="4883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7">
                      <a:extLst>
                        <a:ext uri="{28A0092B-C50C-407E-A947-70E740481C1C}"/>
                      </a:extLst>
                    </a:blip>
                    <a:srcRect/>
                    <a:stretch>
                      <a:fillRect/>
                    </a:stretch>
                  </pic:blipFill>
                  <pic:spPr bwMode="auto">
                    <a:xfrm>
                      <a:off x="0" y="0"/>
                      <a:ext cx="488950"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252" w:lineRule="exact"/>
        <w:rPr>
          <w:sz w:val="20"/>
          <w:szCs w:val="20"/>
          <w:color w:val="auto"/>
        </w:rPr>
      </w:pPr>
    </w:p>
    <w:tbl>
      <w:tblPr>
        <w:tblLayout w:type="fixed"/>
        <w:tblInd w:w="780" w:type="dxa"/>
        <w:tblCellMar>
          <w:top w:w="0" w:type="dxa"/>
          <w:left w:w="0" w:type="dxa"/>
          <w:bottom w:w="0" w:type="dxa"/>
          <w:right w:w="0" w:type="dxa"/>
        </w:tblCellMar>
      </w:tblPr>
      <w:tr>
        <w:trPr>
          <w:trHeight w:val="207"/>
        </w:trPr>
        <w:tc>
          <w:tcPr>
            <w:tcW w:w="3120" w:type="dxa"/>
            <w:vAlign w:val="bottom"/>
            <w:gridSpan w:val="3"/>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If delivering by hand, express mail, courier</w:t>
            </w:r>
          </w:p>
        </w:tc>
        <w:tc>
          <w:tcPr>
            <w:tcW w:w="6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320" w:type="dxa"/>
            <w:vAlign w:val="bottom"/>
            <w:gridSpan w:val="2"/>
          </w:tcPr>
          <w:p>
            <w:pPr>
              <w:jc w:val="center"/>
              <w:ind w:right="800"/>
              <w:spacing w:after="0"/>
              <w:rPr>
                <w:sz w:val="20"/>
                <w:szCs w:val="20"/>
                <w:color w:val="auto"/>
              </w:rPr>
            </w:pPr>
            <w:r>
              <w:rPr>
                <w:rFonts w:ascii="Times New Roman" w:cs="Times New Roman" w:eastAsia="Times New Roman" w:hAnsi="Times New Roman"/>
                <w:sz w:val="18"/>
                <w:szCs w:val="18"/>
                <w:i w:val="1"/>
                <w:iCs w:val="1"/>
                <w:color w:val="auto"/>
                <w:w w:val="99"/>
              </w:rPr>
              <w:t>If delivering by mail:</w:t>
            </w:r>
          </w:p>
        </w:tc>
      </w:tr>
      <w:tr>
        <w:trPr>
          <w:trHeight w:val="196"/>
        </w:trPr>
        <w:tc>
          <w:tcPr>
            <w:tcW w:w="600" w:type="dxa"/>
            <w:vAlign w:val="bottom"/>
            <w:tcBorders>
              <w:top w:val="single" w:sz="8" w:color="auto"/>
            </w:tcBorders>
          </w:tcPr>
          <w:p>
            <w:pPr>
              <w:spacing w:after="0"/>
              <w:rPr>
                <w:sz w:val="17"/>
                <w:szCs w:val="17"/>
                <w:color w:val="auto"/>
              </w:rPr>
            </w:pPr>
          </w:p>
        </w:tc>
        <w:tc>
          <w:tcPr>
            <w:tcW w:w="1940" w:type="dxa"/>
            <w:vAlign w:val="bottom"/>
            <w:tcBorders>
              <w:top w:val="single" w:sz="8" w:color="auto"/>
              <w:bottom w:val="single" w:sz="8" w:color="auto"/>
            </w:tcBorders>
          </w:tcPr>
          <w:p>
            <w:pPr>
              <w:jc w:val="center"/>
              <w:spacing w:after="0" w:line="196" w:lineRule="exact"/>
              <w:rPr>
                <w:sz w:val="20"/>
                <w:szCs w:val="20"/>
                <w:color w:val="auto"/>
              </w:rPr>
            </w:pPr>
            <w:r>
              <w:rPr>
                <w:rFonts w:ascii="Times New Roman" w:cs="Times New Roman" w:eastAsia="Times New Roman" w:hAnsi="Times New Roman"/>
                <w:sz w:val="18"/>
                <w:szCs w:val="18"/>
                <w:i w:val="1"/>
                <w:iCs w:val="1"/>
                <w:color w:val="auto"/>
              </w:rPr>
              <w:t>or other expedited service:</w:t>
            </w:r>
          </w:p>
        </w:tc>
        <w:tc>
          <w:tcPr>
            <w:tcW w:w="580" w:type="dxa"/>
            <w:vAlign w:val="bottom"/>
            <w:tcBorders>
              <w:top w:val="single" w:sz="8" w:color="auto"/>
            </w:tcBorders>
          </w:tcPr>
          <w:p>
            <w:pPr>
              <w:spacing w:after="0"/>
              <w:rPr>
                <w:sz w:val="17"/>
                <w:szCs w:val="17"/>
                <w:color w:val="auto"/>
              </w:rPr>
            </w:pPr>
          </w:p>
        </w:tc>
        <w:tc>
          <w:tcPr>
            <w:tcW w:w="6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c>
          <w:tcPr>
            <w:tcW w:w="800" w:type="dxa"/>
            <w:vAlign w:val="bottom"/>
          </w:tcPr>
          <w:p>
            <w:pPr>
              <w:spacing w:after="0"/>
              <w:rPr>
                <w:sz w:val="17"/>
                <w:szCs w:val="17"/>
                <w:color w:val="auto"/>
              </w:rPr>
            </w:pPr>
          </w:p>
        </w:tc>
      </w:tr>
      <w:tr>
        <w:trPr>
          <w:trHeight w:val="488"/>
        </w:trPr>
        <w:tc>
          <w:tcPr>
            <w:tcW w:w="3720" w:type="dxa"/>
            <w:vAlign w:val="bottom"/>
            <w:gridSpan w:val="4"/>
          </w:tcPr>
          <w:p>
            <w:pPr>
              <w:jc w:val="center"/>
              <w:ind w:right="600"/>
              <w:spacing w:after="0"/>
              <w:rPr>
                <w:sz w:val="20"/>
                <w:szCs w:val="20"/>
                <w:color w:val="auto"/>
              </w:rPr>
            </w:pPr>
            <w:r>
              <w:rPr>
                <w:rFonts w:ascii="Times New Roman" w:cs="Times New Roman" w:eastAsia="Times New Roman" w:hAnsi="Times New Roman"/>
                <w:sz w:val="18"/>
                <w:szCs w:val="18"/>
                <w:color w:val="auto"/>
                <w:w w:val="99"/>
              </w:rPr>
              <w:t>Equiniti Trust Company, LLC</w:t>
            </w:r>
          </w:p>
        </w:tc>
        <w:tc>
          <w:tcPr>
            <w:tcW w:w="3720" w:type="dxa"/>
            <w:vAlign w:val="bottom"/>
            <w:gridSpan w:val="3"/>
          </w:tcPr>
          <w:p>
            <w:pPr>
              <w:jc w:val="center"/>
              <w:ind w:left="510"/>
              <w:spacing w:after="0"/>
              <w:rPr>
                <w:sz w:val="20"/>
                <w:szCs w:val="20"/>
                <w:color w:val="auto"/>
              </w:rPr>
            </w:pPr>
            <w:r>
              <w:rPr>
                <w:rFonts w:ascii="Times New Roman" w:cs="Times New Roman" w:eastAsia="Times New Roman" w:hAnsi="Times New Roman"/>
                <w:sz w:val="18"/>
                <w:szCs w:val="18"/>
                <w:color w:val="auto"/>
                <w:w w:val="99"/>
              </w:rPr>
              <w:t>Equiniti Trust Company, LLC</w:t>
            </w:r>
          </w:p>
        </w:tc>
      </w:tr>
      <w:tr>
        <w:trPr>
          <w:trHeight w:val="216"/>
        </w:trPr>
        <w:tc>
          <w:tcPr>
            <w:tcW w:w="3720" w:type="dxa"/>
            <w:vAlign w:val="bottom"/>
            <w:gridSpan w:val="4"/>
          </w:tcPr>
          <w:p>
            <w:pPr>
              <w:jc w:val="center"/>
              <w:ind w:right="580"/>
              <w:spacing w:after="0"/>
              <w:rPr>
                <w:sz w:val="20"/>
                <w:szCs w:val="20"/>
                <w:color w:val="auto"/>
              </w:rPr>
            </w:pPr>
            <w:r>
              <w:rPr>
                <w:rFonts w:ascii="Times New Roman" w:cs="Times New Roman" w:eastAsia="Times New Roman" w:hAnsi="Times New Roman"/>
                <w:sz w:val="18"/>
                <w:szCs w:val="18"/>
                <w:color w:val="auto"/>
              </w:rPr>
              <w:t>Attn: Onbase - Reorganization Department</w:t>
            </w:r>
          </w:p>
        </w:tc>
        <w:tc>
          <w:tcPr>
            <w:tcW w:w="1400" w:type="dxa"/>
            <w:vAlign w:val="bottom"/>
          </w:tcPr>
          <w:p>
            <w:pPr>
              <w:spacing w:after="0"/>
              <w:rPr>
                <w:sz w:val="18"/>
                <w:szCs w:val="18"/>
                <w:color w:val="auto"/>
              </w:rPr>
            </w:pPr>
          </w:p>
        </w:tc>
        <w:tc>
          <w:tcPr>
            <w:tcW w:w="2320" w:type="dxa"/>
            <w:vAlign w:val="bottom"/>
            <w:gridSpan w:val="2"/>
          </w:tcPr>
          <w:p>
            <w:pPr>
              <w:jc w:val="center"/>
              <w:ind w:right="800"/>
              <w:spacing w:after="0"/>
              <w:rPr>
                <w:sz w:val="20"/>
                <w:szCs w:val="20"/>
                <w:color w:val="auto"/>
              </w:rPr>
            </w:pPr>
            <w:r>
              <w:rPr>
                <w:rFonts w:ascii="Times New Roman" w:cs="Times New Roman" w:eastAsia="Times New Roman" w:hAnsi="Times New Roman"/>
                <w:sz w:val="18"/>
                <w:szCs w:val="18"/>
                <w:color w:val="auto"/>
              </w:rPr>
              <w:t>Operations Center</w:t>
            </w:r>
          </w:p>
        </w:tc>
      </w:tr>
      <w:tr>
        <w:trPr>
          <w:trHeight w:val="216"/>
        </w:trPr>
        <w:tc>
          <w:tcPr>
            <w:tcW w:w="600" w:type="dxa"/>
            <w:vAlign w:val="bottom"/>
          </w:tcPr>
          <w:p>
            <w:pPr>
              <w:spacing w:after="0"/>
              <w:rPr>
                <w:sz w:val="18"/>
                <w:szCs w:val="18"/>
                <w:color w:val="auto"/>
              </w:rPr>
            </w:pPr>
          </w:p>
        </w:tc>
        <w:tc>
          <w:tcPr>
            <w:tcW w:w="3120" w:type="dxa"/>
            <w:vAlign w:val="bottom"/>
            <w:gridSpan w:val="3"/>
          </w:tcPr>
          <w:p>
            <w:pPr>
              <w:jc w:val="center"/>
              <w:ind w:right="1220"/>
              <w:spacing w:after="0"/>
              <w:rPr>
                <w:sz w:val="20"/>
                <w:szCs w:val="20"/>
                <w:color w:val="auto"/>
              </w:rPr>
            </w:pPr>
            <w:r>
              <w:rPr>
                <w:rFonts w:ascii="Times New Roman" w:cs="Times New Roman" w:eastAsia="Times New Roman" w:hAnsi="Times New Roman"/>
                <w:sz w:val="18"/>
                <w:szCs w:val="18"/>
                <w:color w:val="auto"/>
                <w:w w:val="99"/>
              </w:rPr>
              <w:t>1110 Centre Pointe Curve</w:t>
            </w:r>
          </w:p>
        </w:tc>
        <w:tc>
          <w:tcPr>
            <w:tcW w:w="3720" w:type="dxa"/>
            <w:vAlign w:val="bottom"/>
            <w:gridSpan w:val="3"/>
          </w:tcPr>
          <w:p>
            <w:pPr>
              <w:jc w:val="center"/>
              <w:ind w:left="530"/>
              <w:spacing w:after="0"/>
              <w:rPr>
                <w:sz w:val="20"/>
                <w:szCs w:val="20"/>
                <w:color w:val="auto"/>
              </w:rPr>
            </w:pPr>
            <w:r>
              <w:rPr>
                <w:rFonts w:ascii="Times New Roman" w:cs="Times New Roman" w:eastAsia="Times New Roman" w:hAnsi="Times New Roman"/>
                <w:sz w:val="18"/>
                <w:szCs w:val="18"/>
                <w:color w:val="auto"/>
              </w:rPr>
              <w:t>Attn: Onbase - Reorganization Department</w:t>
            </w:r>
          </w:p>
        </w:tc>
      </w:tr>
      <w:tr>
        <w:trPr>
          <w:trHeight w:val="216"/>
        </w:trPr>
        <w:tc>
          <w:tcPr>
            <w:tcW w:w="600" w:type="dxa"/>
            <w:vAlign w:val="bottom"/>
          </w:tcPr>
          <w:p>
            <w:pPr>
              <w:spacing w:after="0"/>
              <w:rPr>
                <w:sz w:val="18"/>
                <w:szCs w:val="18"/>
                <w:color w:val="auto"/>
              </w:rPr>
            </w:pPr>
          </w:p>
        </w:tc>
        <w:tc>
          <w:tcPr>
            <w:tcW w:w="3120" w:type="dxa"/>
            <w:vAlign w:val="bottom"/>
            <w:gridSpan w:val="3"/>
          </w:tcPr>
          <w:p>
            <w:pPr>
              <w:jc w:val="center"/>
              <w:ind w:right="1220"/>
              <w:spacing w:after="0"/>
              <w:rPr>
                <w:sz w:val="20"/>
                <w:szCs w:val="20"/>
                <w:color w:val="auto"/>
              </w:rPr>
            </w:pPr>
            <w:r>
              <w:rPr>
                <w:rFonts w:ascii="Times New Roman" w:cs="Times New Roman" w:eastAsia="Times New Roman" w:hAnsi="Times New Roman"/>
                <w:sz w:val="18"/>
                <w:szCs w:val="18"/>
                <w:color w:val="auto"/>
                <w:w w:val="99"/>
              </w:rPr>
              <w:t>Suite # 101</w:t>
            </w:r>
          </w:p>
        </w:tc>
        <w:tc>
          <w:tcPr>
            <w:tcW w:w="3720" w:type="dxa"/>
            <w:vAlign w:val="bottom"/>
            <w:gridSpan w:val="3"/>
          </w:tcPr>
          <w:p>
            <w:pPr>
              <w:jc w:val="center"/>
              <w:ind w:left="530"/>
              <w:spacing w:after="0"/>
              <w:rPr>
                <w:sz w:val="20"/>
                <w:szCs w:val="20"/>
                <w:color w:val="auto"/>
              </w:rPr>
            </w:pPr>
            <w:r>
              <w:rPr>
                <w:rFonts w:ascii="Times New Roman" w:cs="Times New Roman" w:eastAsia="Times New Roman" w:hAnsi="Times New Roman"/>
                <w:sz w:val="18"/>
                <w:szCs w:val="18"/>
                <w:color w:val="auto"/>
                <w:w w:val="99"/>
              </w:rPr>
              <w:t>1110 Centre Pointe Curve</w:t>
            </w:r>
          </w:p>
        </w:tc>
      </w:tr>
      <w:tr>
        <w:trPr>
          <w:trHeight w:val="216"/>
        </w:trPr>
        <w:tc>
          <w:tcPr>
            <w:tcW w:w="3720" w:type="dxa"/>
            <w:vAlign w:val="bottom"/>
            <w:gridSpan w:val="4"/>
          </w:tcPr>
          <w:p>
            <w:pPr>
              <w:jc w:val="center"/>
              <w:ind w:right="600"/>
              <w:spacing w:after="0"/>
              <w:rPr>
                <w:sz w:val="20"/>
                <w:szCs w:val="20"/>
                <w:color w:val="auto"/>
              </w:rPr>
            </w:pPr>
            <w:r>
              <w:rPr>
                <w:rFonts w:ascii="Times New Roman" w:cs="Times New Roman" w:eastAsia="Times New Roman" w:hAnsi="Times New Roman"/>
                <w:sz w:val="18"/>
                <w:szCs w:val="18"/>
                <w:color w:val="auto"/>
                <w:w w:val="99"/>
              </w:rPr>
              <w:t>Mendota Heights, MN 55120</w:t>
            </w:r>
          </w:p>
        </w:tc>
        <w:tc>
          <w:tcPr>
            <w:tcW w:w="1400" w:type="dxa"/>
            <w:vAlign w:val="bottom"/>
          </w:tcPr>
          <w:p>
            <w:pPr>
              <w:spacing w:after="0"/>
              <w:rPr>
                <w:sz w:val="18"/>
                <w:szCs w:val="18"/>
                <w:color w:val="auto"/>
              </w:rPr>
            </w:pPr>
          </w:p>
        </w:tc>
        <w:tc>
          <w:tcPr>
            <w:tcW w:w="2320" w:type="dxa"/>
            <w:vAlign w:val="bottom"/>
            <w:gridSpan w:val="2"/>
          </w:tcPr>
          <w:p>
            <w:pPr>
              <w:jc w:val="center"/>
              <w:ind w:right="780"/>
              <w:spacing w:after="0"/>
              <w:rPr>
                <w:sz w:val="20"/>
                <w:szCs w:val="20"/>
                <w:color w:val="auto"/>
              </w:rPr>
            </w:pPr>
            <w:r>
              <w:rPr>
                <w:rFonts w:ascii="Times New Roman" w:cs="Times New Roman" w:eastAsia="Times New Roman" w:hAnsi="Times New Roman"/>
                <w:sz w:val="18"/>
                <w:szCs w:val="18"/>
                <w:color w:val="auto"/>
                <w:w w:val="99"/>
              </w:rPr>
              <w:t>Suite # 101</w:t>
            </w:r>
          </w:p>
        </w:tc>
      </w:tr>
      <w:tr>
        <w:trPr>
          <w:trHeight w:val="234"/>
        </w:trPr>
        <w:tc>
          <w:tcPr>
            <w:tcW w:w="6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720" w:type="dxa"/>
            <w:vAlign w:val="bottom"/>
            <w:gridSpan w:val="3"/>
          </w:tcPr>
          <w:p>
            <w:pPr>
              <w:jc w:val="center"/>
              <w:ind w:left="510"/>
              <w:spacing w:after="0"/>
              <w:rPr>
                <w:sz w:val="20"/>
                <w:szCs w:val="20"/>
                <w:color w:val="auto"/>
              </w:rPr>
            </w:pPr>
            <w:r>
              <w:rPr>
                <w:rFonts w:ascii="Times New Roman" w:cs="Times New Roman" w:eastAsia="Times New Roman" w:hAnsi="Times New Roman"/>
                <w:sz w:val="18"/>
                <w:szCs w:val="18"/>
                <w:color w:val="auto"/>
                <w:w w:val="99"/>
              </w:rPr>
              <w:t>Mendota Heights, MN 55120</w:t>
            </w:r>
          </w:p>
        </w:tc>
      </w:tr>
    </w:tbl>
    <w:p>
      <w:pPr>
        <w:spacing w:after="0" w:line="144" w:lineRule="exact"/>
        <w:rPr>
          <w:sz w:val="20"/>
          <w:szCs w:val="20"/>
          <w:color w:val="auto"/>
        </w:rPr>
      </w:pPr>
    </w:p>
    <w:p>
      <w:pPr>
        <w:ind w:left="300" w:right="339" w:firstLine="360"/>
        <w:spacing w:after="0" w:line="261" w:lineRule="auto"/>
        <w:rPr>
          <w:sz w:val="20"/>
          <w:szCs w:val="20"/>
          <w:color w:val="auto"/>
        </w:rPr>
      </w:pPr>
      <w:r>
        <w:rPr>
          <w:rFonts w:ascii="Times New Roman" w:cs="Times New Roman" w:eastAsia="Times New Roman" w:hAnsi="Times New Roman"/>
          <w:sz w:val="18"/>
          <w:szCs w:val="18"/>
          <w:color w:val="auto"/>
        </w:rPr>
        <w:t>Questions or requests for assistance or additional copies of this Offer to Purchase, the Letter of Transmittal and the Notice of Guaranteed Delivery may be directed to the Information Agent at its telephone number and address set forth below. Stockholders may also contact their broker, dealer, commercial bank, trust company or other nominee for assistance concerning the Offer.</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Information Agent for the Offer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1711325</wp:posOffset>
            </wp:positionH>
            <wp:positionV relativeFrom="paragraph">
              <wp:posOffset>88265</wp:posOffset>
            </wp:positionV>
            <wp:extent cx="2305685" cy="5746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8">
                      <a:extLst>
                        <a:ext uri="{28A0092B-C50C-407E-A947-70E740481C1C}"/>
                      </a:extLst>
                    </a:blip>
                    <a:srcRect/>
                    <a:stretch>
                      <a:fillRect/>
                    </a:stretch>
                  </pic:blipFill>
                  <pic:spPr bwMode="auto">
                    <a:xfrm>
                      <a:off x="0" y="0"/>
                      <a:ext cx="2305685"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158"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color w:val="auto"/>
        </w:rPr>
        <w:t>Innisfree M&amp;A Incorporated</w:t>
      </w:r>
    </w:p>
    <w:p>
      <w:pPr>
        <w:spacing w:after="0" w:line="27"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color w:val="auto"/>
        </w:rPr>
        <w:t>500 Fifth Avenue, 21st Floor</w:t>
      </w:r>
    </w:p>
    <w:p>
      <w:pPr>
        <w:spacing w:after="0" w:line="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New York, NY 10110</w:t>
      </w:r>
    </w:p>
    <w:p>
      <w:pPr>
        <w:spacing w:after="0" w:line="1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Stockholders may call:</w:t>
      </w:r>
    </w:p>
    <w:p>
      <w:pPr>
        <w:spacing w:after="0" w:line="31" w:lineRule="exact"/>
        <w:rPr>
          <w:sz w:val="20"/>
          <w:szCs w:val="20"/>
          <w:color w:val="auto"/>
        </w:rPr>
      </w:pPr>
    </w:p>
    <w:p>
      <w:pPr>
        <w:ind w:left="3000" w:right="2539" w:hanging="507"/>
        <w:spacing w:after="0" w:line="260" w:lineRule="auto"/>
        <w:tabs>
          <w:tab w:leader="none" w:pos="2921"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239-1760 (toll-free from the U.S. and Canada) or +1 (412) 232-3651 (from other countries)</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Banks and Brokers may call collect: (212) 750-5833</w:t>
      </w:r>
    </w:p>
    <w:p>
      <w:pPr>
        <w:sectPr>
          <w:pgSz w:w="11900" w:h="16838" w:orient="portrait"/>
          <w:cols w:equalWidth="0" w:num="1">
            <w:col w:w="9019"/>
          </w:cols>
          <w:pgMar w:left="1440" w:top="263" w:right="1440" w:bottom="1440" w:gutter="0" w:footer="0" w:header="0"/>
        </w:sectPr>
      </w:pPr>
    </w:p>
    <w:bookmarkStart w:id="70" w:name="page71"/>
    <w:bookmarkEnd w:id="70"/>
    <w:p>
      <w:pPr>
        <w:ind w:left="7440"/>
        <w:spacing w:after="0"/>
        <w:rPr>
          <w:sz w:val="20"/>
          <w:szCs w:val="20"/>
          <w:color w:val="auto"/>
        </w:rPr>
      </w:pPr>
      <w:r>
        <w:rPr>
          <w:rFonts w:ascii="Times New Roman" w:cs="Times New Roman" w:eastAsia="Times New Roman" w:hAnsi="Times New Roman"/>
          <w:sz w:val="18"/>
          <w:szCs w:val="18"/>
          <w:b w:val="1"/>
          <w:bCs w:val="1"/>
          <w:color w:val="auto"/>
        </w:rPr>
        <w:t>Exhibit (a)(1)(B)</w:t>
      </w:r>
    </w:p>
    <w:p>
      <w:pPr>
        <w:spacing w:after="0" w:line="3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Letter of Transmittal to Tender Shares of Common Stock</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PACIRA BIOSCIENCES, INC.</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at $36.50 Per Share, Net in Cash Pursuant to the Offer to Purchase dated October 30, 2026 by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PEACH PURCHASER SUB INC., a wholly-owned subsidiary of VIATRIS INC.</w:t>
      </w:r>
    </w:p>
    <w:p>
      <w:pPr>
        <w:spacing w:after="0" w:line="97"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i w:val="1"/>
          <w:iCs w:val="1"/>
          <w:color w:val="auto"/>
        </w:rPr>
        <w:t>The undersigned represents that I (we) have full authority to surrender without restriction the certificate(s) listed below. You are hereby authorized and instructed to deliver to the address indicated below (unless otherwise instructed in the boxes in the following page) a check representing a cash payment for shares of common stock, par value $0.001 per share (collectively, the “Shares”), of Pacira BioSciences, Inc. (“Pacira”) tendered pursuant to this Letter of Transmittal, at a price of $36.50 per Share, to the seller thereof in cash, net of applicable withholding taxes and without interest, on the terms and subject to the conditions set forth in the Offer to Purchase, dated October 30, 2026 (as it may be amended or supplemented from time to time, the “Offer to Purchase” and, together with this Letter of Transmittal, as it may be amended or supplemented from time to time, the “Offer”).</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OFFER AND WITHDRAWAL RIGHTS WILL EXPIRE AT THE END OF THE DAY, EASTERN</w:t>
      </w:r>
    </w:p>
    <w:p>
      <w:pPr>
        <w:spacing w:after="0" w:line="31" w:lineRule="exact"/>
        <w:rPr>
          <w:sz w:val="20"/>
          <w:szCs w:val="20"/>
          <w:color w:val="auto"/>
        </w:rPr>
      </w:pPr>
    </w:p>
    <w:p>
      <w:pPr>
        <w:ind w:left="700" w:right="859" w:firstLine="184"/>
        <w:spacing w:after="0" w:line="290" w:lineRule="auto"/>
        <w:rPr>
          <w:sz w:val="20"/>
          <w:szCs w:val="20"/>
          <w:color w:val="auto"/>
        </w:rPr>
      </w:pPr>
      <w:r>
        <w:rPr>
          <w:rFonts w:ascii="Times New Roman" w:cs="Times New Roman" w:eastAsia="Times New Roman" w:hAnsi="Times New Roman"/>
          <w:sz w:val="17"/>
          <w:szCs w:val="17"/>
          <w:b w:val="1"/>
          <w:bCs w:val="1"/>
          <w:color w:val="auto"/>
        </w:rPr>
        <w:t>TIME, ON NOVEMBER 16, 2026 (ONE MINUTE AFTER 11:59 P.M., EASTERN TIME, ON NOVEMBER 16, 2026), UNLESS THE OFFER IS EXTENDED OR EARLIER TERMINATED</w:t>
      </w:r>
      <w:r>
        <w:rPr>
          <w:rFonts w:ascii="Times New Roman" w:cs="Times New Roman" w:eastAsia="Times New Roman" w:hAnsi="Times New Roman"/>
          <w:sz w:val="17"/>
          <w:szCs w:val="17"/>
          <w:color w:val="auto"/>
        </w:rPr>
        <w:t>. </w:t>
      </w:r>
    </w:p>
    <w:p>
      <w:pPr>
        <w:spacing w:after="0" w:line="88" w:lineRule="exact"/>
        <w:rPr>
          <w:sz w:val="20"/>
          <w:szCs w:val="20"/>
          <w:color w:val="auto"/>
        </w:rPr>
      </w:pPr>
    </w:p>
    <w:p>
      <w:pPr>
        <w:jc w:val="center"/>
        <w:ind w:left="1740" w:right="420"/>
        <w:spacing w:after="0" w:line="441" w:lineRule="auto"/>
        <w:rPr>
          <w:sz w:val="20"/>
          <w:szCs w:val="20"/>
          <w:color w:val="auto"/>
        </w:rPr>
      </w:pPr>
      <w:r>
        <w:rPr>
          <w:rFonts w:ascii="Times New Roman" w:cs="Times New Roman" w:eastAsia="Times New Roman" w:hAnsi="Times New Roman"/>
          <w:sz w:val="18"/>
          <w:szCs w:val="18"/>
          <w:color w:val="auto"/>
        </w:rPr>
        <w:t xml:space="preserve">Method of delivery of the certificate(s) is at the option and risk of the owner thereof.   </w:t>
      </w:r>
      <w:r>
        <w:rPr>
          <w:rFonts w:ascii="Times New Roman" w:cs="Times New Roman" w:eastAsia="Times New Roman" w:hAnsi="Times New Roman"/>
          <w:sz w:val="18"/>
          <w:szCs w:val="18"/>
          <w:i w:val="1"/>
          <w:iCs w:val="1"/>
          <w:color w:val="auto"/>
        </w:rPr>
        <w:t>See Instruction 2.</w:t>
      </w:r>
      <w:r>
        <w:rPr>
          <w:rFonts w:ascii="Times New Roman" w:cs="Times New Roman" w:eastAsia="Times New Roman" w:hAnsi="Times New Roman"/>
          <w:sz w:val="18"/>
          <w:szCs w:val="18"/>
          <w:color w:val="auto"/>
        </w:rPr>
        <w:t xml:space="preserve"> Mail or deliver this Letter of Transmittal, together with the certificate(s) representing your shares,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2620010</wp:posOffset>
            </wp:positionH>
            <wp:positionV relativeFrom="paragraph">
              <wp:posOffset>61595</wp:posOffset>
            </wp:positionV>
            <wp:extent cx="488950" cy="4883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9">
                      <a:extLst>
                        <a:ext uri="{28A0092B-C50C-407E-A947-70E740481C1C}"/>
                      </a:extLst>
                    </a:blip>
                    <a:srcRect/>
                    <a:stretch>
                      <a:fillRect/>
                    </a:stretch>
                  </pic:blipFill>
                  <pic:spPr bwMode="auto">
                    <a:xfrm>
                      <a:off x="0" y="0"/>
                      <a:ext cx="488950"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262" w:lineRule="exact"/>
        <w:rPr>
          <w:sz w:val="20"/>
          <w:szCs w:val="20"/>
          <w:color w:val="auto"/>
        </w:rPr>
      </w:pPr>
    </w:p>
    <w:tbl>
      <w:tblPr>
        <w:tblLayout w:type="fixed"/>
        <w:tblInd w:w="960" w:type="dxa"/>
        <w:tblCellMar>
          <w:top w:w="0" w:type="dxa"/>
          <w:left w:w="0" w:type="dxa"/>
          <w:bottom w:w="0" w:type="dxa"/>
          <w:right w:w="0" w:type="dxa"/>
        </w:tblCellMar>
      </w:tblPr>
      <w:tr>
        <w:trPr>
          <w:trHeight w:val="184"/>
        </w:trPr>
        <w:tc>
          <w:tcPr>
            <w:tcW w:w="160" w:type="dxa"/>
            <w:vAlign w:val="bottom"/>
          </w:tcPr>
          <w:p>
            <w:pPr>
              <w:spacing w:after="0"/>
              <w:rPr>
                <w:sz w:val="16"/>
                <w:szCs w:val="16"/>
                <w:color w:val="auto"/>
              </w:rPr>
            </w:pPr>
          </w:p>
        </w:tc>
        <w:tc>
          <w:tcPr>
            <w:tcW w:w="3380" w:type="dxa"/>
            <w:vAlign w:val="bottom"/>
            <w:gridSpan w:val="4"/>
          </w:tcPr>
          <w:p>
            <w:pPr>
              <w:jc w:val="center"/>
              <w:ind w:right="940"/>
              <w:spacing w:after="0"/>
              <w:rPr>
                <w:sz w:val="20"/>
                <w:szCs w:val="20"/>
                <w:color w:val="auto"/>
              </w:rPr>
            </w:pPr>
            <w:r>
              <w:rPr>
                <w:rFonts w:ascii="Times New Roman" w:cs="Times New Roman" w:eastAsia="Times New Roman" w:hAnsi="Times New Roman"/>
                <w:sz w:val="16"/>
                <w:szCs w:val="16"/>
                <w:color w:val="auto"/>
              </w:rPr>
              <w:t>If delivering by express mail, courier,</w:t>
            </w:r>
          </w:p>
        </w:tc>
        <w:tc>
          <w:tcPr>
            <w:tcW w:w="1860" w:type="dxa"/>
            <w:vAlign w:val="bottom"/>
          </w:tcPr>
          <w:p>
            <w:pPr>
              <w:spacing w:after="0"/>
              <w:rPr>
                <w:sz w:val="16"/>
                <w:szCs w:val="16"/>
                <w:color w:val="auto"/>
              </w:rPr>
            </w:pPr>
          </w:p>
        </w:tc>
        <w:tc>
          <w:tcPr>
            <w:tcW w:w="1700" w:type="dxa"/>
            <w:vAlign w:val="bottom"/>
            <w:gridSpan w:val="2"/>
          </w:tcPr>
          <w:p>
            <w:pPr>
              <w:jc w:val="center"/>
              <w:ind w:right="1140"/>
              <w:spacing w:after="0"/>
              <w:rPr>
                <w:sz w:val="20"/>
                <w:szCs w:val="20"/>
                <w:color w:val="auto"/>
              </w:rPr>
            </w:pPr>
            <w:r>
              <w:rPr>
                <w:rFonts w:ascii="Times New Roman" w:cs="Times New Roman" w:eastAsia="Times New Roman" w:hAnsi="Times New Roman"/>
                <w:sz w:val="16"/>
                <w:szCs w:val="16"/>
                <w:color w:val="auto"/>
              </w:rPr>
              <w:t>By mail:</w:t>
            </w:r>
          </w:p>
        </w:tc>
      </w:tr>
      <w:tr>
        <w:trPr>
          <w:trHeight w:val="183"/>
        </w:trPr>
        <w:tc>
          <w:tcPr>
            <w:tcW w:w="16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2080" w:type="dxa"/>
            <w:vAlign w:val="bottom"/>
            <w:tcBorders>
              <w:top w:val="single" w:sz="8" w:color="auto"/>
            </w:tcBorders>
            <w:gridSpan w:val="2"/>
          </w:tcPr>
          <w:p>
            <w:pPr>
              <w:jc w:val="center"/>
              <w:ind w:right="360"/>
              <w:spacing w:after="0" w:line="183" w:lineRule="exact"/>
              <w:rPr>
                <w:sz w:val="20"/>
                <w:szCs w:val="20"/>
                <w:color w:val="auto"/>
              </w:rPr>
            </w:pPr>
            <w:r>
              <w:rPr>
                <w:rFonts w:ascii="Times New Roman" w:cs="Times New Roman" w:eastAsia="Times New Roman" w:hAnsi="Times New Roman"/>
                <w:sz w:val="16"/>
                <w:szCs w:val="16"/>
                <w:color w:val="auto"/>
              </w:rPr>
              <w:t>or other expedited service:</w:t>
            </w:r>
          </w:p>
        </w:tc>
        <w:tc>
          <w:tcPr>
            <w:tcW w:w="94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560" w:type="dxa"/>
            <w:vAlign w:val="bottom"/>
            <w:tcBorders>
              <w:top w:val="single" w:sz="8" w:color="auto"/>
            </w:tcBorders>
          </w:tcPr>
          <w:p>
            <w:pPr>
              <w:ind w:left="220"/>
              <w:spacing w:after="0" w:line="183" w:lineRule="exact"/>
              <w:rPr>
                <w:sz w:val="20"/>
                <w:szCs w:val="20"/>
                <w:color w:val="auto"/>
              </w:rPr>
            </w:pPr>
            <w:r>
              <w:rPr>
                <w:rFonts w:ascii="Times New Roman" w:cs="Times New Roman" w:eastAsia="Times New Roman" w:hAnsi="Times New Roman"/>
                <w:sz w:val="16"/>
                <w:szCs w:val="16"/>
                <w:color w:val="auto"/>
              </w:rPr>
              <w:t> </w:t>
            </w:r>
          </w:p>
        </w:tc>
        <w:tc>
          <w:tcPr>
            <w:tcW w:w="1140" w:type="dxa"/>
            <w:vAlign w:val="bottom"/>
          </w:tcPr>
          <w:p>
            <w:pPr>
              <w:spacing w:after="0"/>
              <w:rPr>
                <w:sz w:val="15"/>
                <w:szCs w:val="15"/>
                <w:color w:val="auto"/>
              </w:rPr>
            </w:pPr>
          </w:p>
        </w:tc>
      </w:tr>
      <w:tr>
        <w:trPr>
          <w:trHeight w:val="209"/>
        </w:trPr>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20" w:type="dxa"/>
            <w:vAlign w:val="bottom"/>
            <w:tcBorders>
              <w:top w:val="single" w:sz="8" w:color="auto"/>
            </w:tcBorders>
          </w:tcPr>
          <w:p>
            <w:pPr>
              <w:ind w:left="780"/>
              <w:spacing w:after="0"/>
              <w:rPr>
                <w:sz w:val="20"/>
                <w:szCs w:val="20"/>
                <w:color w:val="auto"/>
              </w:rPr>
            </w:pPr>
            <w:r>
              <w:rPr>
                <w:rFonts w:ascii="Times New Roman" w:cs="Times New Roman" w:eastAsia="Times New Roman" w:hAnsi="Times New Roman"/>
                <w:sz w:val="16"/>
                <w:szCs w:val="16"/>
                <w:color w:val="auto"/>
              </w:rPr>
              <w:t> </w:t>
            </w:r>
          </w:p>
        </w:tc>
        <w:tc>
          <w:tcPr>
            <w:tcW w:w="1300" w:type="dxa"/>
            <w:vAlign w:val="bottom"/>
            <w:gridSpan w:val="2"/>
          </w:tcPr>
          <w:p>
            <w:pPr>
              <w:spacing w:after="0"/>
              <w:rPr>
                <w:sz w:val="18"/>
                <w:szCs w:val="18"/>
                <w:color w:val="auto"/>
              </w:rPr>
            </w:pPr>
          </w:p>
        </w:tc>
        <w:tc>
          <w:tcPr>
            <w:tcW w:w="3560" w:type="dxa"/>
            <w:vAlign w:val="bottom"/>
            <w:gridSpan w:val="3"/>
          </w:tcPr>
          <w:p>
            <w:pPr>
              <w:jc w:val="center"/>
              <w:ind w:left="699"/>
              <w:spacing w:after="0"/>
              <w:rPr>
                <w:sz w:val="20"/>
                <w:szCs w:val="20"/>
                <w:color w:val="auto"/>
              </w:rPr>
            </w:pPr>
            <w:r>
              <w:rPr>
                <w:rFonts w:ascii="Times New Roman" w:cs="Times New Roman" w:eastAsia="Times New Roman" w:hAnsi="Times New Roman"/>
                <w:sz w:val="16"/>
                <w:szCs w:val="16"/>
                <w:color w:val="auto"/>
              </w:rPr>
              <w:t>Equiniti Trust Company, LLC</w:t>
            </w:r>
          </w:p>
        </w:tc>
      </w:tr>
      <w:tr>
        <w:trPr>
          <w:trHeight w:val="203"/>
        </w:trPr>
        <w:tc>
          <w:tcPr>
            <w:tcW w:w="160" w:type="dxa"/>
            <w:vAlign w:val="bottom"/>
          </w:tcPr>
          <w:p>
            <w:pPr>
              <w:spacing w:after="0"/>
              <w:rPr>
                <w:sz w:val="17"/>
                <w:szCs w:val="17"/>
                <w:color w:val="auto"/>
              </w:rPr>
            </w:pPr>
          </w:p>
        </w:tc>
        <w:tc>
          <w:tcPr>
            <w:tcW w:w="3380" w:type="dxa"/>
            <w:vAlign w:val="bottom"/>
            <w:gridSpan w:val="4"/>
          </w:tcPr>
          <w:p>
            <w:pPr>
              <w:jc w:val="center"/>
              <w:ind w:right="960"/>
              <w:spacing w:after="0"/>
              <w:rPr>
                <w:sz w:val="20"/>
                <w:szCs w:val="20"/>
                <w:color w:val="auto"/>
              </w:rPr>
            </w:pPr>
            <w:r>
              <w:rPr>
                <w:rFonts w:ascii="Times New Roman" w:cs="Times New Roman" w:eastAsia="Times New Roman" w:hAnsi="Times New Roman"/>
                <w:sz w:val="16"/>
                <w:szCs w:val="16"/>
                <w:color w:val="auto"/>
              </w:rPr>
              <w:t>Equiniti Trust Company, LLC</w:t>
            </w:r>
          </w:p>
        </w:tc>
        <w:tc>
          <w:tcPr>
            <w:tcW w:w="3560" w:type="dxa"/>
            <w:vAlign w:val="bottom"/>
            <w:gridSpan w:val="3"/>
          </w:tcPr>
          <w:p>
            <w:pPr>
              <w:jc w:val="center"/>
              <w:ind w:left="699"/>
              <w:spacing w:after="0"/>
              <w:rPr>
                <w:sz w:val="20"/>
                <w:szCs w:val="20"/>
                <w:color w:val="auto"/>
              </w:rPr>
            </w:pPr>
            <w:r>
              <w:rPr>
                <w:rFonts w:ascii="Times New Roman" w:cs="Times New Roman" w:eastAsia="Times New Roman" w:hAnsi="Times New Roman"/>
                <w:sz w:val="16"/>
                <w:szCs w:val="16"/>
                <w:color w:val="auto"/>
              </w:rPr>
              <w:t>Operations Center</w:t>
            </w:r>
          </w:p>
        </w:tc>
      </w:tr>
      <w:tr>
        <w:trPr>
          <w:trHeight w:val="203"/>
        </w:trPr>
        <w:tc>
          <w:tcPr>
            <w:tcW w:w="354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Attn: Onbase - Reorganization Department</w:t>
            </w:r>
          </w:p>
        </w:tc>
        <w:tc>
          <w:tcPr>
            <w:tcW w:w="3560" w:type="dxa"/>
            <w:vAlign w:val="bottom"/>
            <w:gridSpan w:val="3"/>
          </w:tcPr>
          <w:p>
            <w:pPr>
              <w:jc w:val="center"/>
              <w:ind w:left="699"/>
              <w:spacing w:after="0"/>
              <w:rPr>
                <w:sz w:val="20"/>
                <w:szCs w:val="20"/>
                <w:color w:val="auto"/>
              </w:rPr>
            </w:pPr>
            <w:r>
              <w:rPr>
                <w:rFonts w:ascii="Times New Roman" w:cs="Times New Roman" w:eastAsia="Times New Roman" w:hAnsi="Times New Roman"/>
                <w:sz w:val="16"/>
                <w:szCs w:val="16"/>
                <w:color w:val="auto"/>
              </w:rPr>
              <w:t>Attn: Onbase - Reorganization Department</w:t>
            </w:r>
          </w:p>
        </w:tc>
      </w:tr>
      <w:tr>
        <w:trPr>
          <w:trHeight w:val="203"/>
        </w:trPr>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20" w:type="dxa"/>
            <w:vAlign w:val="bottom"/>
            <w:gridSpan w:val="3"/>
          </w:tcPr>
          <w:p>
            <w:pPr>
              <w:jc w:val="center"/>
              <w:ind w:right="1300"/>
              <w:spacing w:after="0"/>
              <w:rPr>
                <w:sz w:val="20"/>
                <w:szCs w:val="20"/>
                <w:color w:val="auto"/>
              </w:rPr>
            </w:pPr>
            <w:r>
              <w:rPr>
                <w:rFonts w:ascii="Times New Roman" w:cs="Times New Roman" w:eastAsia="Times New Roman" w:hAnsi="Times New Roman"/>
                <w:sz w:val="16"/>
                <w:szCs w:val="16"/>
                <w:color w:val="auto"/>
              </w:rPr>
              <w:t>1110 Centre Pointe Curve</w:t>
            </w:r>
          </w:p>
        </w:tc>
        <w:tc>
          <w:tcPr>
            <w:tcW w:w="3560" w:type="dxa"/>
            <w:vAlign w:val="bottom"/>
            <w:gridSpan w:val="3"/>
          </w:tcPr>
          <w:p>
            <w:pPr>
              <w:jc w:val="center"/>
              <w:ind w:left="679"/>
              <w:spacing w:after="0"/>
              <w:rPr>
                <w:sz w:val="20"/>
                <w:szCs w:val="20"/>
                <w:color w:val="auto"/>
              </w:rPr>
            </w:pPr>
            <w:r>
              <w:rPr>
                <w:rFonts w:ascii="Times New Roman" w:cs="Times New Roman" w:eastAsia="Times New Roman" w:hAnsi="Times New Roman"/>
                <w:sz w:val="16"/>
                <w:szCs w:val="16"/>
                <w:color w:val="auto"/>
              </w:rPr>
              <w:t>1110 Centre Pointe Curve</w:t>
            </w:r>
          </w:p>
        </w:tc>
      </w:tr>
      <w:tr>
        <w:trPr>
          <w:trHeight w:val="203"/>
        </w:trPr>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20" w:type="dxa"/>
            <w:vAlign w:val="bottom"/>
            <w:gridSpan w:val="3"/>
          </w:tcPr>
          <w:p>
            <w:pPr>
              <w:jc w:val="center"/>
              <w:ind w:right="1320"/>
              <w:spacing w:after="0"/>
              <w:rPr>
                <w:sz w:val="20"/>
                <w:szCs w:val="20"/>
                <w:color w:val="auto"/>
              </w:rPr>
            </w:pPr>
            <w:r>
              <w:rPr>
                <w:rFonts w:ascii="Times New Roman" w:cs="Times New Roman" w:eastAsia="Times New Roman" w:hAnsi="Times New Roman"/>
                <w:sz w:val="16"/>
                <w:szCs w:val="16"/>
                <w:color w:val="auto"/>
              </w:rPr>
              <w:t>Suite # 101</w:t>
            </w:r>
          </w:p>
        </w:tc>
        <w:tc>
          <w:tcPr>
            <w:tcW w:w="3560" w:type="dxa"/>
            <w:vAlign w:val="bottom"/>
            <w:gridSpan w:val="3"/>
          </w:tcPr>
          <w:p>
            <w:pPr>
              <w:jc w:val="center"/>
              <w:ind w:left="659"/>
              <w:spacing w:after="0"/>
              <w:rPr>
                <w:sz w:val="20"/>
                <w:szCs w:val="20"/>
                <w:color w:val="auto"/>
              </w:rPr>
            </w:pPr>
            <w:r>
              <w:rPr>
                <w:rFonts w:ascii="Times New Roman" w:cs="Times New Roman" w:eastAsia="Times New Roman" w:hAnsi="Times New Roman"/>
                <w:sz w:val="16"/>
                <w:szCs w:val="16"/>
                <w:color w:val="auto"/>
              </w:rPr>
              <w:t>Suite # 101</w:t>
            </w:r>
          </w:p>
        </w:tc>
      </w:tr>
      <w:tr>
        <w:trPr>
          <w:trHeight w:val="210"/>
        </w:trPr>
        <w:tc>
          <w:tcPr>
            <w:tcW w:w="160" w:type="dxa"/>
            <w:vAlign w:val="bottom"/>
          </w:tcPr>
          <w:p>
            <w:pPr>
              <w:spacing w:after="0"/>
              <w:rPr>
                <w:sz w:val="18"/>
                <w:szCs w:val="18"/>
                <w:color w:val="auto"/>
              </w:rPr>
            </w:pPr>
          </w:p>
        </w:tc>
        <w:tc>
          <w:tcPr>
            <w:tcW w:w="3380" w:type="dxa"/>
            <w:vAlign w:val="bottom"/>
            <w:gridSpan w:val="4"/>
          </w:tcPr>
          <w:p>
            <w:pPr>
              <w:jc w:val="center"/>
              <w:ind w:right="920"/>
              <w:spacing w:after="0"/>
              <w:rPr>
                <w:sz w:val="20"/>
                <w:szCs w:val="20"/>
                <w:color w:val="auto"/>
              </w:rPr>
            </w:pPr>
            <w:r>
              <w:rPr>
                <w:rFonts w:ascii="Times New Roman" w:cs="Times New Roman" w:eastAsia="Times New Roman" w:hAnsi="Times New Roman"/>
                <w:sz w:val="16"/>
                <w:szCs w:val="16"/>
                <w:color w:val="auto"/>
              </w:rPr>
              <w:t>Mendota Heights, MN 55120</w:t>
            </w:r>
          </w:p>
        </w:tc>
        <w:tc>
          <w:tcPr>
            <w:tcW w:w="3560" w:type="dxa"/>
            <w:vAlign w:val="bottom"/>
            <w:gridSpan w:val="3"/>
          </w:tcPr>
          <w:p>
            <w:pPr>
              <w:jc w:val="center"/>
              <w:ind w:left="699"/>
              <w:spacing w:after="0"/>
              <w:rPr>
                <w:sz w:val="20"/>
                <w:szCs w:val="20"/>
                <w:color w:val="auto"/>
              </w:rPr>
            </w:pPr>
            <w:r>
              <w:rPr>
                <w:rFonts w:ascii="Times New Roman" w:cs="Times New Roman" w:eastAsia="Times New Roman" w:hAnsi="Times New Roman"/>
                <w:sz w:val="16"/>
                <w:szCs w:val="16"/>
                <w:color w:val="auto"/>
              </w:rPr>
              <w:t>Mendota Heights, MN 55120</w:t>
            </w:r>
          </w:p>
        </w:tc>
      </w:tr>
    </w:tbl>
    <w:p>
      <w:pPr>
        <w:spacing w:after="0" w:line="150" w:lineRule="exact"/>
        <w:rPr>
          <w:sz w:val="20"/>
          <w:szCs w:val="20"/>
          <w:color w:val="auto"/>
        </w:rPr>
      </w:pPr>
    </w:p>
    <w:p>
      <w:pPr>
        <w:ind w:left="300" w:right="559" w:firstLine="360"/>
        <w:spacing w:after="0" w:line="312" w:lineRule="auto"/>
        <w:rPr>
          <w:sz w:val="20"/>
          <w:szCs w:val="20"/>
          <w:color w:val="auto"/>
        </w:rPr>
      </w:pPr>
      <w:r>
        <w:rPr>
          <w:rFonts w:ascii="Times New Roman" w:cs="Times New Roman" w:eastAsia="Times New Roman" w:hAnsi="Times New Roman"/>
          <w:sz w:val="17"/>
          <w:szCs w:val="17"/>
          <w:color w:val="auto"/>
        </w:rPr>
        <w:t>Pursuant to the offer of Peach Purchaser Sub Inc. (“Purchaser”) to purchase all outstanding Shares of Pacira, the undersigned encloses herewith and surrenders the following certificate(s) representing Shares of Pacira:</w:t>
      </w:r>
    </w:p>
    <w:p>
      <w:pPr>
        <w:spacing w:after="0" w:line="57" w:lineRule="exact"/>
        <w:rPr>
          <w:sz w:val="20"/>
          <w:szCs w:val="20"/>
          <w:color w:val="auto"/>
        </w:rPr>
      </w:pPr>
    </w:p>
    <w:tbl>
      <w:tblPr>
        <w:tblLayout w:type="fixed"/>
        <w:tblInd w:w="310" w:type="dxa"/>
        <w:tblCellMar>
          <w:top w:w="0" w:type="dxa"/>
          <w:left w:w="0" w:type="dxa"/>
          <w:bottom w:w="0" w:type="dxa"/>
          <w:right w:w="0" w:type="dxa"/>
        </w:tblCellMar>
      </w:tblPr>
      <w:tr>
        <w:trPr>
          <w:trHeight w:val="277"/>
        </w:trPr>
        <w:tc>
          <w:tcPr>
            <w:tcW w:w="6260" w:type="dxa"/>
            <w:vAlign w:val="bottom"/>
            <w:tcBorders>
              <w:top w:val="single" w:sz="8" w:color="auto"/>
              <w:left w:val="single" w:sz="8" w:color="auto"/>
              <w:bottom w:val="single" w:sz="8" w:color="auto"/>
            </w:tcBorders>
            <w:gridSpan w:val="4"/>
          </w:tcPr>
          <w:p>
            <w:pPr>
              <w:ind w:left="2960"/>
              <w:spacing w:after="0"/>
              <w:rPr>
                <w:sz w:val="20"/>
                <w:szCs w:val="20"/>
                <w:color w:val="auto"/>
              </w:rPr>
            </w:pPr>
            <w:r>
              <w:rPr>
                <w:rFonts w:ascii="Times New Roman" w:cs="Times New Roman" w:eastAsia="Times New Roman" w:hAnsi="Times New Roman"/>
                <w:sz w:val="13"/>
                <w:szCs w:val="13"/>
                <w:color w:val="auto"/>
              </w:rPr>
              <w:t>DESCRIPTION OF SHARES SURRENDERED</w:t>
            </w:r>
          </w:p>
        </w:tc>
        <w:tc>
          <w:tcPr>
            <w:tcW w:w="110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3000" w:type="dxa"/>
            <w:vAlign w:val="bottom"/>
            <w:tcBorders>
              <w:left w:val="single" w:sz="8" w:color="auto"/>
              <w:right w:val="single" w:sz="8" w:color="auto"/>
            </w:tcBorders>
          </w:tcPr>
          <w:p>
            <w:pPr>
              <w:jc w:val="center"/>
              <w:ind w:right="37"/>
              <w:spacing w:after="0" w:line="131" w:lineRule="exact"/>
              <w:rPr>
                <w:sz w:val="20"/>
                <w:szCs w:val="20"/>
                <w:color w:val="auto"/>
              </w:rPr>
            </w:pPr>
            <w:r>
              <w:rPr>
                <w:rFonts w:ascii="Times New Roman" w:cs="Times New Roman" w:eastAsia="Times New Roman" w:hAnsi="Times New Roman"/>
                <w:sz w:val="13"/>
                <w:szCs w:val="13"/>
                <w:color w:val="auto"/>
                <w:w w:val="97"/>
              </w:rPr>
              <w:t>Name(s) and Address(es) of Registered Owner(s)</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color w:val="auto"/>
                <w:w w:val="96"/>
              </w:rPr>
              <w:t>Shares Surrendered</w:t>
            </w:r>
          </w:p>
        </w:tc>
        <w:tc>
          <w:tcPr>
            <w:tcW w:w="1100" w:type="dxa"/>
            <w:vAlign w:val="bottom"/>
          </w:tcPr>
          <w:p>
            <w:pPr>
              <w:spacing w:after="0"/>
              <w:rPr>
                <w:sz w:val="11"/>
                <w:szCs w:val="11"/>
                <w:color w:val="auto"/>
              </w:rPr>
            </w:pPr>
          </w:p>
        </w:tc>
        <w:tc>
          <w:tcPr>
            <w:tcW w:w="10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tcBorders>
              <w:left w:val="single" w:sz="8" w:color="auto"/>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(If blank, please fill in exactly as name(s) appear(s) on</w:t>
            </w:r>
          </w:p>
        </w:tc>
        <w:tc>
          <w:tcPr>
            <w:tcW w:w="1080" w:type="dxa"/>
            <w:vAlign w:val="bottom"/>
          </w:tcPr>
          <w:p>
            <w:pPr>
              <w:spacing w:after="0"/>
              <w:rPr>
                <w:sz w:val="11"/>
                <w:szCs w:val="11"/>
                <w:color w:val="auto"/>
              </w:rPr>
            </w:pPr>
          </w:p>
        </w:tc>
        <w:tc>
          <w:tcPr>
            <w:tcW w:w="3280" w:type="dxa"/>
            <w:vAlign w:val="bottom"/>
            <w:gridSpan w:val="3"/>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(attached additional list if necessary)</w:t>
            </w:r>
          </w:p>
        </w:tc>
        <w:tc>
          <w:tcPr>
            <w:tcW w:w="10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5"/>
        </w:trPr>
        <w:tc>
          <w:tcPr>
            <w:tcW w:w="30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color w:val="auto"/>
                <w:w w:val="97"/>
              </w:rPr>
              <w:t>share certificate(s))</w:t>
            </w:r>
          </w:p>
        </w:tc>
        <w:tc>
          <w:tcPr>
            <w:tcW w:w="10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99"/>
        </w:trPr>
        <w:tc>
          <w:tcPr>
            <w:tcW w:w="3000" w:type="dxa"/>
            <w:vAlign w:val="bottom"/>
            <w:tcBorders>
              <w:left w:val="single" w:sz="8" w:color="auto"/>
              <w:right w:val="single" w:sz="8" w:color="auto"/>
            </w:tcBorders>
            <w:vMerge w:val="continue"/>
          </w:tcPr>
          <w:p>
            <w:pPr>
              <w:spacing w:after="0"/>
              <w:rPr>
                <w:sz w:val="8"/>
                <w:szCs w:val="8"/>
                <w:color w:val="auto"/>
              </w:rPr>
            </w:pPr>
          </w:p>
        </w:tc>
        <w:tc>
          <w:tcPr>
            <w:tcW w:w="1080" w:type="dxa"/>
            <w:vAlign w:val="bottom"/>
          </w:tcPr>
          <w:p>
            <w:pPr>
              <w:spacing w:after="0"/>
              <w:rPr>
                <w:sz w:val="8"/>
                <w:szCs w:val="8"/>
                <w:color w:val="auto"/>
              </w:rPr>
            </w:pPr>
          </w:p>
        </w:tc>
        <w:tc>
          <w:tcPr>
            <w:tcW w:w="108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w w:val="92"/>
              </w:rPr>
              <w:t>Certificated Shares**</w:t>
            </w:r>
          </w:p>
        </w:tc>
        <w:tc>
          <w:tcPr>
            <w:tcW w:w="1100" w:type="dxa"/>
            <w:vAlign w:val="bottom"/>
            <w:tcBorders>
              <w:right w:val="single" w:sz="8" w:color="auto"/>
            </w:tcBorders>
          </w:tcPr>
          <w:p>
            <w:pPr>
              <w:spacing w:after="0"/>
              <w:rPr>
                <w:sz w:val="8"/>
                <w:szCs w:val="8"/>
                <w:color w:val="auto"/>
              </w:rPr>
            </w:pPr>
          </w:p>
        </w:tc>
        <w:tc>
          <w:tcPr>
            <w:tcW w:w="1100" w:type="dxa"/>
            <w:vAlign w:val="bottom"/>
          </w:tcPr>
          <w:p>
            <w:pPr>
              <w:spacing w:after="0"/>
              <w:rPr>
                <w:sz w:val="8"/>
                <w:szCs w:val="8"/>
                <w:color w:val="auto"/>
              </w:rPr>
            </w:pPr>
          </w:p>
        </w:tc>
        <w:tc>
          <w:tcPr>
            <w:tcW w:w="10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3000" w:type="dxa"/>
            <w:vAlign w:val="bottom"/>
            <w:tcBorders>
              <w:left w:val="single" w:sz="8" w:color="auto"/>
              <w:right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vMerge w:val="continue"/>
          </w:tcPr>
          <w:p>
            <w:pPr>
              <w:spacing w:after="0"/>
              <w:rPr>
                <w:sz w:val="6"/>
                <w:szCs w:val="6"/>
                <w:color w:val="auto"/>
              </w:rPr>
            </w:pPr>
          </w:p>
        </w:tc>
        <w:tc>
          <w:tcPr>
            <w:tcW w:w="1100" w:type="dxa"/>
            <w:vAlign w:val="bottom"/>
            <w:tcBorders>
              <w:bottom w:val="single" w:sz="8" w:color="auto"/>
              <w:right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10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0"/>
        </w:trPr>
        <w:tc>
          <w:tcPr>
            <w:tcW w:w="3000" w:type="dxa"/>
            <w:vAlign w:val="bottom"/>
            <w:tcBorders>
              <w:left w:val="single" w:sz="8" w:color="auto"/>
              <w:right w:val="single" w:sz="8" w:color="auto"/>
            </w:tcBorders>
          </w:tcPr>
          <w:p>
            <w:pPr>
              <w:spacing w:after="0"/>
              <w:rPr>
                <w:sz w:val="11"/>
                <w:szCs w:val="11"/>
                <w:color w:val="auto"/>
              </w:rPr>
            </w:pPr>
          </w:p>
        </w:tc>
        <w:tc>
          <w:tcPr>
            <w:tcW w:w="1080" w:type="dxa"/>
            <w:vAlign w:val="bottom"/>
            <w:tcBorders>
              <w:right w:val="single" w:sz="8" w:color="auto"/>
            </w:tcBorders>
          </w:tcPr>
          <w:p>
            <w:pPr>
              <w:spacing w:after="0"/>
              <w:rPr>
                <w:sz w:val="11"/>
                <w:szCs w:val="11"/>
                <w:color w:val="auto"/>
              </w:rPr>
            </w:pPr>
          </w:p>
        </w:tc>
        <w:tc>
          <w:tcPr>
            <w:tcW w:w="1080" w:type="dxa"/>
            <w:vAlign w:val="bottom"/>
            <w:tcBorders>
              <w:right w:val="single" w:sz="8" w:color="auto"/>
            </w:tcBorders>
          </w:tcPr>
          <w:p>
            <w:pPr>
              <w:jc w:val="center"/>
              <w:spacing w:after="0" w:line="131" w:lineRule="exact"/>
              <w:rPr>
                <w:sz w:val="20"/>
                <w:szCs w:val="20"/>
                <w:color w:val="auto"/>
              </w:rPr>
            </w:pPr>
            <w:r>
              <w:rPr>
                <w:rFonts w:ascii="Times New Roman" w:cs="Times New Roman" w:eastAsia="Times New Roman" w:hAnsi="Times New Roman"/>
                <w:sz w:val="13"/>
                <w:szCs w:val="13"/>
                <w:color w:val="auto"/>
                <w:w w:val="93"/>
              </w:rPr>
              <w:t>Total Number of</w:t>
            </w:r>
          </w:p>
        </w:tc>
        <w:tc>
          <w:tcPr>
            <w:tcW w:w="1100" w:type="dxa"/>
            <w:vAlign w:val="bottom"/>
            <w:tcBorders>
              <w:right w:val="single" w:sz="8" w:color="auto"/>
            </w:tcBorders>
          </w:tcPr>
          <w:p>
            <w:pPr>
              <w:spacing w:after="0"/>
              <w:rPr>
                <w:sz w:val="11"/>
                <w:szCs w:val="11"/>
                <w:color w:val="auto"/>
              </w:rPr>
            </w:pPr>
          </w:p>
        </w:tc>
        <w:tc>
          <w:tcPr>
            <w:tcW w:w="1100" w:type="dxa"/>
            <w:vAlign w:val="bottom"/>
            <w:tcBorders>
              <w:right w:val="single" w:sz="8" w:color="auto"/>
            </w:tcBorders>
          </w:tcPr>
          <w:p>
            <w:pPr>
              <w:spacing w:after="0"/>
              <w:rPr>
                <w:sz w:val="11"/>
                <w:szCs w:val="11"/>
                <w:color w:val="auto"/>
              </w:rPr>
            </w:pPr>
          </w:p>
        </w:tc>
        <w:tc>
          <w:tcPr>
            <w:tcW w:w="10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tcBorders>
              <w:left w:val="single" w:sz="8" w:color="auto"/>
              <w:right w:val="single" w:sz="8" w:color="auto"/>
            </w:tcBorders>
          </w:tcPr>
          <w:p>
            <w:pPr>
              <w:spacing w:after="0"/>
              <w:rPr>
                <w:sz w:val="11"/>
                <w:szCs w:val="11"/>
                <w:color w:val="auto"/>
              </w:rPr>
            </w:pPr>
          </w:p>
        </w:tc>
        <w:tc>
          <w:tcPr>
            <w:tcW w:w="1080" w:type="dxa"/>
            <w:vAlign w:val="bottom"/>
            <w:tcBorders>
              <w:right w:val="single" w:sz="8" w:color="auto"/>
            </w:tcBorders>
          </w:tcPr>
          <w:p>
            <w:pPr>
              <w:spacing w:after="0"/>
              <w:rPr>
                <w:sz w:val="11"/>
                <w:szCs w:val="11"/>
                <w:color w:val="auto"/>
              </w:rPr>
            </w:pPr>
          </w:p>
        </w:tc>
        <w:tc>
          <w:tcPr>
            <w:tcW w:w="10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Shares</w:t>
            </w:r>
          </w:p>
        </w:tc>
        <w:tc>
          <w:tcPr>
            <w:tcW w:w="1100" w:type="dxa"/>
            <w:vAlign w:val="bottom"/>
            <w:tcBorders>
              <w:right w:val="single" w:sz="8" w:color="auto"/>
            </w:tcBorders>
          </w:tcPr>
          <w:p>
            <w:pPr>
              <w:spacing w:after="0"/>
              <w:rPr>
                <w:sz w:val="11"/>
                <w:szCs w:val="11"/>
                <w:color w:val="auto"/>
              </w:rPr>
            </w:pPr>
          </w:p>
        </w:tc>
        <w:tc>
          <w:tcPr>
            <w:tcW w:w="1100" w:type="dxa"/>
            <w:vAlign w:val="bottom"/>
            <w:tcBorders>
              <w:right w:val="single" w:sz="8" w:color="auto"/>
            </w:tcBorders>
          </w:tcPr>
          <w:p>
            <w:pPr>
              <w:spacing w:after="0"/>
              <w:rPr>
                <w:sz w:val="11"/>
                <w:szCs w:val="11"/>
                <w:color w:val="auto"/>
              </w:rPr>
            </w:pPr>
          </w:p>
        </w:tc>
        <w:tc>
          <w:tcPr>
            <w:tcW w:w="10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tcBorders>
              <w:left w:val="single" w:sz="8" w:color="auto"/>
              <w:right w:val="single" w:sz="8" w:color="auto"/>
            </w:tcBorders>
          </w:tcPr>
          <w:p>
            <w:pPr>
              <w:spacing w:after="0"/>
              <w:rPr>
                <w:sz w:val="11"/>
                <w:szCs w:val="11"/>
                <w:color w:val="auto"/>
              </w:rPr>
            </w:pPr>
          </w:p>
        </w:tc>
        <w:tc>
          <w:tcPr>
            <w:tcW w:w="1080" w:type="dxa"/>
            <w:vAlign w:val="bottom"/>
            <w:tcBorders>
              <w:right w:val="single" w:sz="8" w:color="auto"/>
            </w:tcBorders>
          </w:tcPr>
          <w:p>
            <w:pPr>
              <w:spacing w:after="0"/>
              <w:rPr>
                <w:sz w:val="11"/>
                <w:szCs w:val="11"/>
                <w:color w:val="auto"/>
              </w:rPr>
            </w:pPr>
          </w:p>
        </w:tc>
        <w:tc>
          <w:tcPr>
            <w:tcW w:w="10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Represented</w:t>
            </w:r>
          </w:p>
        </w:tc>
        <w:tc>
          <w:tcPr>
            <w:tcW w:w="11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Number of</w:t>
            </w:r>
          </w:p>
        </w:tc>
        <w:tc>
          <w:tcPr>
            <w:tcW w:w="11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Book-Entry</w:t>
            </w:r>
          </w:p>
        </w:tc>
        <w:tc>
          <w:tcPr>
            <w:tcW w:w="10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DRIP shares</w:t>
            </w:r>
          </w:p>
        </w:tc>
        <w:tc>
          <w:tcPr>
            <w:tcW w:w="0" w:type="dxa"/>
            <w:vAlign w:val="bottom"/>
          </w:tcPr>
          <w:p>
            <w:pPr>
              <w:spacing w:after="0"/>
              <w:rPr>
                <w:sz w:val="1"/>
                <w:szCs w:val="1"/>
                <w:color w:val="auto"/>
              </w:rPr>
            </w:pPr>
          </w:p>
        </w:tc>
      </w:tr>
      <w:tr>
        <w:trPr>
          <w:trHeight w:val="135"/>
        </w:trPr>
        <w:tc>
          <w:tcPr>
            <w:tcW w:w="3000" w:type="dxa"/>
            <w:vAlign w:val="bottom"/>
            <w:tcBorders>
              <w:left w:val="single" w:sz="8" w:color="auto"/>
              <w:right w:val="single" w:sz="8" w:color="auto"/>
            </w:tcBorders>
          </w:tcPr>
          <w:p>
            <w:pPr>
              <w:spacing w:after="0"/>
              <w:rPr>
                <w:sz w:val="11"/>
                <w:szCs w:val="11"/>
                <w:color w:val="auto"/>
              </w:rPr>
            </w:pPr>
          </w:p>
        </w:tc>
        <w:tc>
          <w:tcPr>
            <w:tcW w:w="10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4"/>
              </w:rPr>
              <w:t>Certificate</w:t>
            </w:r>
          </w:p>
        </w:tc>
        <w:tc>
          <w:tcPr>
            <w:tcW w:w="10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1"/>
              </w:rPr>
              <w:t>by</w:t>
            </w:r>
          </w:p>
        </w:tc>
        <w:tc>
          <w:tcPr>
            <w:tcW w:w="11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Shares</w:t>
            </w:r>
          </w:p>
        </w:tc>
        <w:tc>
          <w:tcPr>
            <w:tcW w:w="11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Shares</w:t>
            </w:r>
          </w:p>
        </w:tc>
        <w:tc>
          <w:tcPr>
            <w:tcW w:w="10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rPr>
              <w:t>to be</w:t>
            </w:r>
          </w:p>
        </w:tc>
        <w:tc>
          <w:tcPr>
            <w:tcW w:w="0" w:type="dxa"/>
            <w:vAlign w:val="bottom"/>
          </w:tcPr>
          <w:p>
            <w:pPr>
              <w:spacing w:after="0"/>
              <w:rPr>
                <w:sz w:val="1"/>
                <w:szCs w:val="1"/>
                <w:color w:val="auto"/>
              </w:rPr>
            </w:pPr>
          </w:p>
        </w:tc>
      </w:tr>
      <w:tr>
        <w:trPr>
          <w:trHeight w:val="174"/>
        </w:trPr>
        <w:tc>
          <w:tcPr>
            <w:tcW w:w="3000" w:type="dxa"/>
            <w:vAlign w:val="bottom"/>
            <w:tcBorders>
              <w:left w:val="single" w:sz="8" w:color="auto"/>
              <w:right w:val="single" w:sz="8" w:color="auto"/>
            </w:tcBorders>
          </w:tcPr>
          <w:p>
            <w:pPr>
              <w:spacing w:after="0"/>
              <w:rPr>
                <w:sz w:val="15"/>
                <w:szCs w:val="15"/>
                <w:color w:val="auto"/>
              </w:rPr>
            </w:pP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Number(s)*</w:t>
            </w: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Certificate(s) *</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Surrendered **</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Surrendered</w:t>
            </w:r>
          </w:p>
        </w:tc>
        <w:tc>
          <w:tcPr>
            <w:tcW w:w="1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3"/>
              </w:rPr>
              <w:t>tendered</w:t>
            </w:r>
          </w:p>
        </w:tc>
        <w:tc>
          <w:tcPr>
            <w:tcW w:w="0" w:type="dxa"/>
            <w:vAlign w:val="bottom"/>
          </w:tcPr>
          <w:p>
            <w:pPr>
              <w:spacing w:after="0"/>
              <w:rPr>
                <w:sz w:val="1"/>
                <w:szCs w:val="1"/>
                <w:color w:val="auto"/>
              </w:rPr>
            </w:pPr>
          </w:p>
        </w:tc>
      </w:tr>
      <w:tr>
        <w:trPr>
          <w:trHeight w:val="189"/>
        </w:trPr>
        <w:tc>
          <w:tcPr>
            <w:tcW w:w="3000" w:type="dxa"/>
            <w:vAlign w:val="bottom"/>
            <w:tcBorders>
              <w:left w:val="single" w:sz="8" w:color="auto"/>
              <w:right w:val="single" w:sz="8" w:color="auto"/>
            </w:tcBorders>
          </w:tcPr>
          <w:p>
            <w:pPr>
              <w:spacing w:after="0"/>
              <w:rPr>
                <w:sz w:val="16"/>
                <w:szCs w:val="16"/>
                <w:color w:val="auto"/>
              </w:rPr>
            </w:pPr>
          </w:p>
        </w:tc>
        <w:tc>
          <w:tcPr>
            <w:tcW w:w="1080" w:type="dxa"/>
            <w:vAlign w:val="bottom"/>
            <w:tcBorders>
              <w:bottom w:val="single" w:sz="8" w:color="auto"/>
              <w:right w:val="single" w:sz="8" w:color="auto"/>
            </w:tcBorders>
          </w:tcPr>
          <w:p>
            <w:pPr>
              <w:spacing w:after="0"/>
              <w:rPr>
                <w:sz w:val="16"/>
                <w:szCs w:val="16"/>
                <w:color w:val="auto"/>
              </w:rPr>
            </w:pPr>
          </w:p>
        </w:tc>
        <w:tc>
          <w:tcPr>
            <w:tcW w:w="1080" w:type="dxa"/>
            <w:vAlign w:val="bottom"/>
            <w:tcBorders>
              <w:bottom w:val="single" w:sz="8" w:color="auto"/>
              <w:right w:val="single" w:sz="8" w:color="auto"/>
            </w:tcBorders>
          </w:tcPr>
          <w:p>
            <w:pPr>
              <w:spacing w:after="0"/>
              <w:rPr>
                <w:sz w:val="16"/>
                <w:szCs w:val="16"/>
                <w:color w:val="auto"/>
              </w:rPr>
            </w:pPr>
          </w:p>
        </w:tc>
        <w:tc>
          <w:tcPr>
            <w:tcW w:w="1100" w:type="dxa"/>
            <w:vAlign w:val="bottom"/>
            <w:tcBorders>
              <w:bottom w:val="single" w:sz="8" w:color="auto"/>
              <w:right w:val="single" w:sz="8" w:color="auto"/>
            </w:tcBorders>
          </w:tcPr>
          <w:p>
            <w:pPr>
              <w:spacing w:after="0"/>
              <w:rPr>
                <w:sz w:val="16"/>
                <w:szCs w:val="16"/>
                <w:color w:val="auto"/>
              </w:rPr>
            </w:pPr>
          </w:p>
        </w:tc>
        <w:tc>
          <w:tcPr>
            <w:tcW w:w="1100" w:type="dxa"/>
            <w:vAlign w:val="bottom"/>
            <w:tcBorders>
              <w:bottom w:val="single" w:sz="8" w:color="auto"/>
              <w:right w:val="single" w:sz="8" w:color="auto"/>
            </w:tcBorders>
          </w:tcPr>
          <w:p>
            <w:pPr>
              <w:spacing w:after="0"/>
              <w:rPr>
                <w:sz w:val="16"/>
                <w:szCs w:val="16"/>
                <w:color w:val="auto"/>
              </w:rPr>
            </w:pPr>
          </w:p>
        </w:tc>
        <w:tc>
          <w:tcPr>
            <w:tcW w:w="10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000" w:type="dxa"/>
            <w:vAlign w:val="bottom"/>
            <w:tcBorders>
              <w:left w:val="single" w:sz="8" w:color="auto"/>
              <w:right w:val="single" w:sz="8" w:color="auto"/>
            </w:tcBorders>
          </w:tcPr>
          <w:p>
            <w:pPr>
              <w:spacing w:after="0"/>
              <w:rPr>
                <w:sz w:val="15"/>
                <w:szCs w:val="15"/>
                <w:color w:val="auto"/>
              </w:rPr>
            </w:pPr>
          </w:p>
        </w:tc>
        <w:tc>
          <w:tcPr>
            <w:tcW w:w="1080" w:type="dxa"/>
            <w:vAlign w:val="bottom"/>
            <w:tcBorders>
              <w:bottom w:val="single" w:sz="8" w:color="auto"/>
              <w:right w:val="single" w:sz="8" w:color="auto"/>
            </w:tcBorders>
          </w:tcPr>
          <w:p>
            <w:pPr>
              <w:spacing w:after="0"/>
              <w:rPr>
                <w:sz w:val="15"/>
                <w:szCs w:val="15"/>
                <w:color w:val="auto"/>
              </w:rPr>
            </w:pPr>
          </w:p>
        </w:tc>
        <w:tc>
          <w:tcPr>
            <w:tcW w:w="1080" w:type="dxa"/>
            <w:vAlign w:val="bottom"/>
            <w:tcBorders>
              <w:bottom w:val="single" w:sz="8" w:color="auto"/>
              <w:right w:val="single" w:sz="8" w:color="auto"/>
            </w:tcBorders>
          </w:tcPr>
          <w:p>
            <w:pPr>
              <w:spacing w:after="0"/>
              <w:rPr>
                <w:sz w:val="15"/>
                <w:szCs w:val="15"/>
                <w:color w:val="auto"/>
              </w:rPr>
            </w:pPr>
          </w:p>
        </w:tc>
        <w:tc>
          <w:tcPr>
            <w:tcW w:w="1100" w:type="dxa"/>
            <w:vAlign w:val="bottom"/>
            <w:tcBorders>
              <w:bottom w:val="single" w:sz="8" w:color="auto"/>
              <w:right w:val="single" w:sz="8" w:color="auto"/>
            </w:tcBorders>
          </w:tcPr>
          <w:p>
            <w:pPr>
              <w:spacing w:after="0"/>
              <w:rPr>
                <w:sz w:val="15"/>
                <w:szCs w:val="15"/>
                <w:color w:val="auto"/>
              </w:rPr>
            </w:pPr>
          </w:p>
        </w:tc>
        <w:tc>
          <w:tcPr>
            <w:tcW w:w="1100" w:type="dxa"/>
            <w:vAlign w:val="bottom"/>
            <w:tcBorders>
              <w:bottom w:val="single" w:sz="8" w:color="auto"/>
              <w:right w:val="single" w:sz="8" w:color="auto"/>
            </w:tcBorders>
          </w:tcPr>
          <w:p>
            <w:pPr>
              <w:spacing w:after="0"/>
              <w:rPr>
                <w:sz w:val="15"/>
                <w:szCs w:val="15"/>
                <w:color w:val="auto"/>
              </w:rPr>
            </w:pPr>
          </w:p>
        </w:tc>
        <w:tc>
          <w:tcPr>
            <w:tcW w:w="106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000" w:type="dxa"/>
            <w:vAlign w:val="bottom"/>
            <w:tcBorders>
              <w:left w:val="single" w:sz="8" w:color="auto"/>
              <w:right w:val="single" w:sz="8" w:color="auto"/>
            </w:tcBorders>
          </w:tcPr>
          <w:p>
            <w:pPr>
              <w:spacing w:after="0"/>
              <w:rPr>
                <w:sz w:val="15"/>
                <w:szCs w:val="15"/>
                <w:color w:val="auto"/>
              </w:rPr>
            </w:pPr>
          </w:p>
        </w:tc>
        <w:tc>
          <w:tcPr>
            <w:tcW w:w="1080" w:type="dxa"/>
            <w:vAlign w:val="bottom"/>
            <w:tcBorders>
              <w:bottom w:val="single" w:sz="8" w:color="auto"/>
              <w:right w:val="single" w:sz="8" w:color="auto"/>
            </w:tcBorders>
          </w:tcPr>
          <w:p>
            <w:pPr>
              <w:spacing w:after="0"/>
              <w:rPr>
                <w:sz w:val="15"/>
                <w:szCs w:val="15"/>
                <w:color w:val="auto"/>
              </w:rPr>
            </w:pPr>
          </w:p>
        </w:tc>
        <w:tc>
          <w:tcPr>
            <w:tcW w:w="1080" w:type="dxa"/>
            <w:vAlign w:val="bottom"/>
            <w:tcBorders>
              <w:bottom w:val="single" w:sz="8" w:color="auto"/>
              <w:right w:val="single" w:sz="8" w:color="auto"/>
            </w:tcBorders>
          </w:tcPr>
          <w:p>
            <w:pPr>
              <w:spacing w:after="0"/>
              <w:rPr>
                <w:sz w:val="15"/>
                <w:szCs w:val="15"/>
                <w:color w:val="auto"/>
              </w:rPr>
            </w:pPr>
          </w:p>
        </w:tc>
        <w:tc>
          <w:tcPr>
            <w:tcW w:w="1100" w:type="dxa"/>
            <w:vAlign w:val="bottom"/>
            <w:tcBorders>
              <w:bottom w:val="single" w:sz="8" w:color="auto"/>
              <w:right w:val="single" w:sz="8" w:color="auto"/>
            </w:tcBorders>
          </w:tcPr>
          <w:p>
            <w:pPr>
              <w:spacing w:after="0"/>
              <w:rPr>
                <w:sz w:val="15"/>
                <w:szCs w:val="15"/>
                <w:color w:val="auto"/>
              </w:rPr>
            </w:pPr>
          </w:p>
        </w:tc>
        <w:tc>
          <w:tcPr>
            <w:tcW w:w="1100" w:type="dxa"/>
            <w:vAlign w:val="bottom"/>
            <w:tcBorders>
              <w:bottom w:val="single" w:sz="8" w:color="auto"/>
              <w:right w:val="single" w:sz="8" w:color="auto"/>
            </w:tcBorders>
          </w:tcPr>
          <w:p>
            <w:pPr>
              <w:spacing w:after="0"/>
              <w:rPr>
                <w:sz w:val="15"/>
                <w:szCs w:val="15"/>
                <w:color w:val="auto"/>
              </w:rPr>
            </w:pPr>
          </w:p>
        </w:tc>
        <w:tc>
          <w:tcPr>
            <w:tcW w:w="106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000" w:type="dxa"/>
            <w:vAlign w:val="bottom"/>
            <w:tcBorders>
              <w:left w:val="single" w:sz="8" w:color="auto"/>
              <w:right w:val="single" w:sz="8" w:color="auto"/>
            </w:tcBorders>
          </w:tcPr>
          <w:p>
            <w:pPr>
              <w:spacing w:after="0"/>
              <w:rPr>
                <w:sz w:val="15"/>
                <w:szCs w:val="15"/>
                <w:color w:val="auto"/>
              </w:rPr>
            </w:pPr>
          </w:p>
        </w:tc>
        <w:tc>
          <w:tcPr>
            <w:tcW w:w="1080" w:type="dxa"/>
            <w:vAlign w:val="bottom"/>
            <w:tcBorders>
              <w:bottom w:val="single" w:sz="8" w:color="auto"/>
              <w:right w:val="single" w:sz="8" w:color="auto"/>
            </w:tcBorders>
          </w:tcPr>
          <w:p>
            <w:pPr>
              <w:spacing w:after="0"/>
              <w:rPr>
                <w:sz w:val="15"/>
                <w:szCs w:val="15"/>
                <w:color w:val="auto"/>
              </w:rPr>
            </w:pPr>
          </w:p>
        </w:tc>
        <w:tc>
          <w:tcPr>
            <w:tcW w:w="1080" w:type="dxa"/>
            <w:vAlign w:val="bottom"/>
            <w:tcBorders>
              <w:bottom w:val="single" w:sz="8" w:color="auto"/>
              <w:right w:val="single" w:sz="8" w:color="auto"/>
            </w:tcBorders>
          </w:tcPr>
          <w:p>
            <w:pPr>
              <w:spacing w:after="0"/>
              <w:rPr>
                <w:sz w:val="15"/>
                <w:szCs w:val="15"/>
                <w:color w:val="auto"/>
              </w:rPr>
            </w:pPr>
          </w:p>
        </w:tc>
        <w:tc>
          <w:tcPr>
            <w:tcW w:w="1100" w:type="dxa"/>
            <w:vAlign w:val="bottom"/>
            <w:tcBorders>
              <w:bottom w:val="single" w:sz="8" w:color="auto"/>
              <w:right w:val="single" w:sz="8" w:color="auto"/>
            </w:tcBorders>
          </w:tcPr>
          <w:p>
            <w:pPr>
              <w:spacing w:after="0"/>
              <w:rPr>
                <w:sz w:val="15"/>
                <w:szCs w:val="15"/>
                <w:color w:val="auto"/>
              </w:rPr>
            </w:pPr>
          </w:p>
        </w:tc>
        <w:tc>
          <w:tcPr>
            <w:tcW w:w="1100" w:type="dxa"/>
            <w:vAlign w:val="bottom"/>
            <w:tcBorders>
              <w:bottom w:val="single" w:sz="8" w:color="auto"/>
              <w:right w:val="single" w:sz="8" w:color="auto"/>
            </w:tcBorders>
          </w:tcPr>
          <w:p>
            <w:pPr>
              <w:spacing w:after="0"/>
              <w:rPr>
                <w:sz w:val="15"/>
                <w:szCs w:val="15"/>
                <w:color w:val="auto"/>
              </w:rPr>
            </w:pPr>
          </w:p>
        </w:tc>
        <w:tc>
          <w:tcPr>
            <w:tcW w:w="106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000" w:type="dxa"/>
            <w:vAlign w:val="bottom"/>
            <w:tcBorders>
              <w:left w:val="single" w:sz="8" w:color="auto"/>
              <w:right w:val="single" w:sz="8" w:color="auto"/>
            </w:tcBorders>
          </w:tcPr>
          <w:p>
            <w:pPr>
              <w:spacing w:after="0"/>
              <w:rPr>
                <w:sz w:val="15"/>
                <w:szCs w:val="15"/>
                <w:color w:val="auto"/>
              </w:rPr>
            </w:pPr>
          </w:p>
        </w:tc>
        <w:tc>
          <w:tcPr>
            <w:tcW w:w="1080" w:type="dxa"/>
            <w:vAlign w:val="bottom"/>
            <w:tcBorders>
              <w:bottom w:val="single" w:sz="8" w:color="auto"/>
              <w:right w:val="single" w:sz="8" w:color="auto"/>
            </w:tcBorders>
          </w:tcPr>
          <w:p>
            <w:pPr>
              <w:spacing w:after="0"/>
              <w:rPr>
                <w:sz w:val="15"/>
                <w:szCs w:val="15"/>
                <w:color w:val="auto"/>
              </w:rPr>
            </w:pPr>
          </w:p>
        </w:tc>
        <w:tc>
          <w:tcPr>
            <w:tcW w:w="1080" w:type="dxa"/>
            <w:vAlign w:val="bottom"/>
            <w:tcBorders>
              <w:bottom w:val="single" w:sz="8" w:color="auto"/>
              <w:right w:val="single" w:sz="8" w:color="auto"/>
            </w:tcBorders>
          </w:tcPr>
          <w:p>
            <w:pPr>
              <w:spacing w:after="0"/>
              <w:rPr>
                <w:sz w:val="15"/>
                <w:szCs w:val="15"/>
                <w:color w:val="auto"/>
              </w:rPr>
            </w:pPr>
          </w:p>
        </w:tc>
        <w:tc>
          <w:tcPr>
            <w:tcW w:w="1100" w:type="dxa"/>
            <w:vAlign w:val="bottom"/>
            <w:tcBorders>
              <w:bottom w:val="single" w:sz="8" w:color="auto"/>
              <w:right w:val="single" w:sz="8" w:color="auto"/>
            </w:tcBorders>
          </w:tcPr>
          <w:p>
            <w:pPr>
              <w:spacing w:after="0"/>
              <w:rPr>
                <w:sz w:val="15"/>
                <w:szCs w:val="15"/>
                <w:color w:val="auto"/>
              </w:rPr>
            </w:pPr>
          </w:p>
        </w:tc>
        <w:tc>
          <w:tcPr>
            <w:tcW w:w="1100" w:type="dxa"/>
            <w:vAlign w:val="bottom"/>
            <w:tcBorders>
              <w:bottom w:val="single" w:sz="8" w:color="auto"/>
              <w:right w:val="single" w:sz="8" w:color="auto"/>
            </w:tcBorders>
          </w:tcPr>
          <w:p>
            <w:pPr>
              <w:spacing w:after="0"/>
              <w:rPr>
                <w:sz w:val="15"/>
                <w:szCs w:val="15"/>
                <w:color w:val="auto"/>
              </w:rPr>
            </w:pPr>
          </w:p>
        </w:tc>
        <w:tc>
          <w:tcPr>
            <w:tcW w:w="106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000" w:type="dxa"/>
            <w:vAlign w:val="bottom"/>
            <w:tcBorders>
              <w:left w:val="single" w:sz="8" w:color="auto"/>
              <w:right w:val="single" w:sz="8" w:color="auto"/>
            </w:tcBorders>
          </w:tcPr>
          <w:p>
            <w:pPr>
              <w:spacing w:after="0"/>
              <w:rPr>
                <w:sz w:val="15"/>
                <w:szCs w:val="15"/>
                <w:color w:val="auto"/>
              </w:rPr>
            </w:pPr>
          </w:p>
        </w:tc>
        <w:tc>
          <w:tcPr>
            <w:tcW w:w="1080" w:type="dxa"/>
            <w:vAlign w:val="bottom"/>
            <w:tcBorders>
              <w:bottom w:val="single" w:sz="8" w:color="auto"/>
              <w:right w:val="single" w:sz="8" w:color="auto"/>
            </w:tcBorders>
          </w:tcPr>
          <w:p>
            <w:pPr>
              <w:spacing w:after="0"/>
              <w:rPr>
                <w:sz w:val="15"/>
                <w:szCs w:val="15"/>
                <w:color w:val="auto"/>
              </w:rPr>
            </w:pPr>
          </w:p>
        </w:tc>
        <w:tc>
          <w:tcPr>
            <w:tcW w:w="1080" w:type="dxa"/>
            <w:vAlign w:val="bottom"/>
            <w:tcBorders>
              <w:bottom w:val="single" w:sz="8" w:color="auto"/>
              <w:right w:val="single" w:sz="8" w:color="auto"/>
            </w:tcBorders>
          </w:tcPr>
          <w:p>
            <w:pPr>
              <w:spacing w:after="0"/>
              <w:rPr>
                <w:sz w:val="15"/>
                <w:szCs w:val="15"/>
                <w:color w:val="auto"/>
              </w:rPr>
            </w:pPr>
          </w:p>
        </w:tc>
        <w:tc>
          <w:tcPr>
            <w:tcW w:w="1100" w:type="dxa"/>
            <w:vAlign w:val="bottom"/>
            <w:tcBorders>
              <w:bottom w:val="single" w:sz="8" w:color="auto"/>
              <w:right w:val="single" w:sz="8" w:color="auto"/>
            </w:tcBorders>
          </w:tcPr>
          <w:p>
            <w:pPr>
              <w:spacing w:after="0"/>
              <w:rPr>
                <w:sz w:val="15"/>
                <w:szCs w:val="15"/>
                <w:color w:val="auto"/>
              </w:rPr>
            </w:pPr>
          </w:p>
        </w:tc>
        <w:tc>
          <w:tcPr>
            <w:tcW w:w="1100" w:type="dxa"/>
            <w:vAlign w:val="bottom"/>
            <w:tcBorders>
              <w:bottom w:val="single" w:sz="8" w:color="auto"/>
              <w:right w:val="single" w:sz="8" w:color="auto"/>
            </w:tcBorders>
          </w:tcPr>
          <w:p>
            <w:pPr>
              <w:spacing w:after="0"/>
              <w:rPr>
                <w:sz w:val="15"/>
                <w:szCs w:val="15"/>
                <w:color w:val="auto"/>
              </w:rPr>
            </w:pPr>
          </w:p>
        </w:tc>
        <w:tc>
          <w:tcPr>
            <w:tcW w:w="106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000" w:type="dxa"/>
            <w:vAlign w:val="bottom"/>
            <w:tcBorders>
              <w:left w:val="single" w:sz="8" w:color="auto"/>
              <w:right w:val="single" w:sz="8" w:color="auto"/>
            </w:tcBorders>
          </w:tcPr>
          <w:p>
            <w:pPr>
              <w:spacing w:after="0"/>
              <w:rPr>
                <w:sz w:val="15"/>
                <w:szCs w:val="15"/>
                <w:color w:val="auto"/>
              </w:rPr>
            </w:pPr>
          </w:p>
        </w:tc>
        <w:tc>
          <w:tcPr>
            <w:tcW w:w="1080" w:type="dxa"/>
            <w:vAlign w:val="bottom"/>
            <w:tcBorders>
              <w:bottom w:val="single" w:sz="8" w:color="auto"/>
              <w:right w:val="single" w:sz="8" w:color="auto"/>
            </w:tcBorders>
          </w:tcPr>
          <w:p>
            <w:pPr>
              <w:spacing w:after="0"/>
              <w:rPr>
                <w:sz w:val="15"/>
                <w:szCs w:val="15"/>
                <w:color w:val="auto"/>
              </w:rPr>
            </w:pPr>
          </w:p>
        </w:tc>
        <w:tc>
          <w:tcPr>
            <w:tcW w:w="1080" w:type="dxa"/>
            <w:vAlign w:val="bottom"/>
            <w:tcBorders>
              <w:bottom w:val="single" w:sz="8" w:color="auto"/>
              <w:right w:val="single" w:sz="8" w:color="auto"/>
            </w:tcBorders>
          </w:tcPr>
          <w:p>
            <w:pPr>
              <w:spacing w:after="0"/>
              <w:rPr>
                <w:sz w:val="15"/>
                <w:szCs w:val="15"/>
                <w:color w:val="auto"/>
              </w:rPr>
            </w:pPr>
          </w:p>
        </w:tc>
        <w:tc>
          <w:tcPr>
            <w:tcW w:w="1100" w:type="dxa"/>
            <w:vAlign w:val="bottom"/>
            <w:tcBorders>
              <w:bottom w:val="single" w:sz="8" w:color="auto"/>
              <w:right w:val="single" w:sz="8" w:color="auto"/>
            </w:tcBorders>
          </w:tcPr>
          <w:p>
            <w:pPr>
              <w:spacing w:after="0"/>
              <w:rPr>
                <w:sz w:val="15"/>
                <w:szCs w:val="15"/>
                <w:color w:val="auto"/>
              </w:rPr>
            </w:pPr>
          </w:p>
        </w:tc>
        <w:tc>
          <w:tcPr>
            <w:tcW w:w="1100" w:type="dxa"/>
            <w:vAlign w:val="bottom"/>
            <w:tcBorders>
              <w:bottom w:val="single" w:sz="8" w:color="auto"/>
              <w:right w:val="single" w:sz="8" w:color="auto"/>
            </w:tcBorders>
          </w:tcPr>
          <w:p>
            <w:pPr>
              <w:spacing w:after="0"/>
              <w:rPr>
                <w:sz w:val="15"/>
                <w:szCs w:val="15"/>
                <w:color w:val="auto"/>
              </w:rPr>
            </w:pPr>
          </w:p>
        </w:tc>
        <w:tc>
          <w:tcPr>
            <w:tcW w:w="106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000" w:type="dxa"/>
            <w:vAlign w:val="bottom"/>
            <w:tcBorders>
              <w:left w:val="single" w:sz="8" w:color="auto"/>
              <w:right w:val="single" w:sz="8" w:color="auto"/>
            </w:tcBorders>
          </w:tcPr>
          <w:p>
            <w:pPr>
              <w:spacing w:after="0"/>
              <w:rPr>
                <w:sz w:val="15"/>
                <w:szCs w:val="15"/>
                <w:color w:val="auto"/>
              </w:rPr>
            </w:pPr>
          </w:p>
        </w:tc>
        <w:tc>
          <w:tcPr>
            <w:tcW w:w="1080" w:type="dxa"/>
            <w:vAlign w:val="bottom"/>
            <w:tcBorders>
              <w:bottom w:val="single" w:sz="8" w:color="auto"/>
              <w:right w:val="single" w:sz="8" w:color="auto"/>
            </w:tcBorders>
          </w:tcPr>
          <w:p>
            <w:pPr>
              <w:spacing w:after="0"/>
              <w:rPr>
                <w:sz w:val="15"/>
                <w:szCs w:val="15"/>
                <w:color w:val="auto"/>
              </w:rPr>
            </w:pPr>
          </w:p>
        </w:tc>
        <w:tc>
          <w:tcPr>
            <w:tcW w:w="1080" w:type="dxa"/>
            <w:vAlign w:val="bottom"/>
            <w:tcBorders>
              <w:bottom w:val="single" w:sz="8" w:color="auto"/>
              <w:right w:val="single" w:sz="8" w:color="auto"/>
            </w:tcBorders>
          </w:tcPr>
          <w:p>
            <w:pPr>
              <w:spacing w:after="0"/>
              <w:rPr>
                <w:sz w:val="15"/>
                <w:szCs w:val="15"/>
                <w:color w:val="auto"/>
              </w:rPr>
            </w:pPr>
          </w:p>
        </w:tc>
        <w:tc>
          <w:tcPr>
            <w:tcW w:w="1100" w:type="dxa"/>
            <w:vAlign w:val="bottom"/>
            <w:tcBorders>
              <w:bottom w:val="single" w:sz="8" w:color="auto"/>
              <w:right w:val="single" w:sz="8" w:color="auto"/>
            </w:tcBorders>
          </w:tcPr>
          <w:p>
            <w:pPr>
              <w:spacing w:after="0"/>
              <w:rPr>
                <w:sz w:val="15"/>
                <w:szCs w:val="15"/>
                <w:color w:val="auto"/>
              </w:rPr>
            </w:pPr>
          </w:p>
        </w:tc>
        <w:tc>
          <w:tcPr>
            <w:tcW w:w="1100" w:type="dxa"/>
            <w:vAlign w:val="bottom"/>
            <w:tcBorders>
              <w:bottom w:val="single" w:sz="8" w:color="auto"/>
              <w:right w:val="single" w:sz="8" w:color="auto"/>
            </w:tcBorders>
          </w:tcPr>
          <w:p>
            <w:pPr>
              <w:spacing w:after="0"/>
              <w:rPr>
                <w:sz w:val="15"/>
                <w:szCs w:val="15"/>
                <w:color w:val="auto"/>
              </w:rPr>
            </w:pPr>
          </w:p>
        </w:tc>
        <w:tc>
          <w:tcPr>
            <w:tcW w:w="106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000" w:type="dxa"/>
            <w:vAlign w:val="bottom"/>
            <w:tcBorders>
              <w:left w:val="single" w:sz="8" w:color="auto"/>
              <w:right w:val="single" w:sz="8" w:color="auto"/>
            </w:tcBorders>
          </w:tcPr>
          <w:p>
            <w:pPr>
              <w:spacing w:after="0"/>
              <w:rPr>
                <w:sz w:val="15"/>
                <w:szCs w:val="15"/>
                <w:color w:val="auto"/>
              </w:rPr>
            </w:pPr>
          </w:p>
        </w:tc>
        <w:tc>
          <w:tcPr>
            <w:tcW w:w="1080" w:type="dxa"/>
            <w:vAlign w:val="bottom"/>
            <w:tcBorders>
              <w:bottom w:val="single" w:sz="8" w:color="auto"/>
              <w:right w:val="single" w:sz="8" w:color="auto"/>
            </w:tcBorders>
          </w:tcPr>
          <w:p>
            <w:pPr>
              <w:spacing w:after="0"/>
              <w:rPr>
                <w:sz w:val="15"/>
                <w:szCs w:val="15"/>
                <w:color w:val="auto"/>
              </w:rPr>
            </w:pPr>
          </w:p>
        </w:tc>
        <w:tc>
          <w:tcPr>
            <w:tcW w:w="1080" w:type="dxa"/>
            <w:vAlign w:val="bottom"/>
            <w:tcBorders>
              <w:bottom w:val="single" w:sz="8" w:color="auto"/>
              <w:right w:val="single" w:sz="8" w:color="auto"/>
            </w:tcBorders>
          </w:tcPr>
          <w:p>
            <w:pPr>
              <w:spacing w:after="0"/>
              <w:rPr>
                <w:sz w:val="15"/>
                <w:szCs w:val="15"/>
                <w:color w:val="auto"/>
              </w:rPr>
            </w:pPr>
          </w:p>
        </w:tc>
        <w:tc>
          <w:tcPr>
            <w:tcW w:w="1100" w:type="dxa"/>
            <w:vAlign w:val="bottom"/>
            <w:tcBorders>
              <w:bottom w:val="single" w:sz="8" w:color="auto"/>
              <w:right w:val="single" w:sz="8" w:color="auto"/>
            </w:tcBorders>
          </w:tcPr>
          <w:p>
            <w:pPr>
              <w:spacing w:after="0"/>
              <w:rPr>
                <w:sz w:val="15"/>
                <w:szCs w:val="15"/>
                <w:color w:val="auto"/>
              </w:rPr>
            </w:pPr>
          </w:p>
        </w:tc>
        <w:tc>
          <w:tcPr>
            <w:tcW w:w="1100" w:type="dxa"/>
            <w:vAlign w:val="bottom"/>
            <w:tcBorders>
              <w:bottom w:val="single" w:sz="8" w:color="auto"/>
              <w:right w:val="single" w:sz="8" w:color="auto"/>
            </w:tcBorders>
          </w:tcPr>
          <w:p>
            <w:pPr>
              <w:spacing w:after="0"/>
              <w:rPr>
                <w:sz w:val="15"/>
                <w:szCs w:val="15"/>
                <w:color w:val="auto"/>
              </w:rPr>
            </w:pPr>
          </w:p>
        </w:tc>
        <w:tc>
          <w:tcPr>
            <w:tcW w:w="106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000" w:type="dxa"/>
            <w:vAlign w:val="bottom"/>
            <w:tcBorders>
              <w:left w:val="single" w:sz="8" w:color="auto"/>
              <w:right w:val="single" w:sz="8" w:color="auto"/>
            </w:tcBorders>
          </w:tcPr>
          <w:p>
            <w:pPr>
              <w:spacing w:after="0"/>
              <w:rPr>
                <w:sz w:val="15"/>
                <w:szCs w:val="15"/>
                <w:color w:val="auto"/>
              </w:rPr>
            </w:pPr>
          </w:p>
        </w:tc>
        <w:tc>
          <w:tcPr>
            <w:tcW w:w="1080" w:type="dxa"/>
            <w:vAlign w:val="bottom"/>
            <w:tcBorders>
              <w:bottom w:val="single" w:sz="8" w:color="auto"/>
              <w:right w:val="single" w:sz="8" w:color="auto"/>
            </w:tcBorders>
          </w:tcPr>
          <w:p>
            <w:pPr>
              <w:spacing w:after="0"/>
              <w:rPr>
                <w:sz w:val="15"/>
                <w:szCs w:val="15"/>
                <w:color w:val="auto"/>
              </w:rPr>
            </w:pPr>
          </w:p>
        </w:tc>
        <w:tc>
          <w:tcPr>
            <w:tcW w:w="1080" w:type="dxa"/>
            <w:vAlign w:val="bottom"/>
            <w:tcBorders>
              <w:bottom w:val="single" w:sz="8" w:color="auto"/>
              <w:right w:val="single" w:sz="8" w:color="auto"/>
            </w:tcBorders>
          </w:tcPr>
          <w:p>
            <w:pPr>
              <w:spacing w:after="0"/>
              <w:rPr>
                <w:sz w:val="15"/>
                <w:szCs w:val="15"/>
                <w:color w:val="auto"/>
              </w:rPr>
            </w:pPr>
          </w:p>
        </w:tc>
        <w:tc>
          <w:tcPr>
            <w:tcW w:w="1100" w:type="dxa"/>
            <w:vAlign w:val="bottom"/>
            <w:tcBorders>
              <w:bottom w:val="single" w:sz="8" w:color="auto"/>
              <w:right w:val="single" w:sz="8" w:color="auto"/>
            </w:tcBorders>
          </w:tcPr>
          <w:p>
            <w:pPr>
              <w:spacing w:after="0"/>
              <w:rPr>
                <w:sz w:val="15"/>
                <w:szCs w:val="15"/>
                <w:color w:val="auto"/>
              </w:rPr>
            </w:pPr>
          </w:p>
        </w:tc>
        <w:tc>
          <w:tcPr>
            <w:tcW w:w="1100" w:type="dxa"/>
            <w:vAlign w:val="bottom"/>
            <w:tcBorders>
              <w:bottom w:val="single" w:sz="8" w:color="auto"/>
              <w:right w:val="single" w:sz="8" w:color="auto"/>
            </w:tcBorders>
          </w:tcPr>
          <w:p>
            <w:pPr>
              <w:spacing w:after="0"/>
              <w:rPr>
                <w:sz w:val="15"/>
                <w:szCs w:val="15"/>
                <w:color w:val="auto"/>
              </w:rPr>
            </w:pPr>
          </w:p>
        </w:tc>
        <w:tc>
          <w:tcPr>
            <w:tcW w:w="106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000" w:type="dxa"/>
            <w:vAlign w:val="bottom"/>
            <w:tcBorders>
              <w:left w:val="single" w:sz="8" w:color="auto"/>
              <w:right w:val="single" w:sz="8" w:color="auto"/>
            </w:tcBorders>
          </w:tcPr>
          <w:p>
            <w:pPr>
              <w:spacing w:after="0"/>
              <w:rPr>
                <w:sz w:val="15"/>
                <w:szCs w:val="15"/>
                <w:color w:val="auto"/>
              </w:rPr>
            </w:pPr>
          </w:p>
        </w:tc>
        <w:tc>
          <w:tcPr>
            <w:tcW w:w="1080" w:type="dxa"/>
            <w:vAlign w:val="bottom"/>
            <w:tcBorders>
              <w:bottom w:val="single" w:sz="8" w:color="auto"/>
              <w:right w:val="single" w:sz="8" w:color="auto"/>
            </w:tcBorders>
          </w:tcPr>
          <w:p>
            <w:pPr>
              <w:spacing w:after="0"/>
              <w:rPr>
                <w:sz w:val="15"/>
                <w:szCs w:val="15"/>
                <w:color w:val="auto"/>
              </w:rPr>
            </w:pPr>
          </w:p>
        </w:tc>
        <w:tc>
          <w:tcPr>
            <w:tcW w:w="1080" w:type="dxa"/>
            <w:vAlign w:val="bottom"/>
            <w:tcBorders>
              <w:bottom w:val="single" w:sz="8" w:color="auto"/>
              <w:right w:val="single" w:sz="8" w:color="auto"/>
            </w:tcBorders>
          </w:tcPr>
          <w:p>
            <w:pPr>
              <w:spacing w:after="0"/>
              <w:rPr>
                <w:sz w:val="15"/>
                <w:szCs w:val="15"/>
                <w:color w:val="auto"/>
              </w:rPr>
            </w:pPr>
          </w:p>
        </w:tc>
        <w:tc>
          <w:tcPr>
            <w:tcW w:w="1100" w:type="dxa"/>
            <w:vAlign w:val="bottom"/>
            <w:tcBorders>
              <w:bottom w:val="single" w:sz="8" w:color="auto"/>
              <w:right w:val="single" w:sz="8" w:color="auto"/>
            </w:tcBorders>
          </w:tcPr>
          <w:p>
            <w:pPr>
              <w:spacing w:after="0"/>
              <w:rPr>
                <w:sz w:val="15"/>
                <w:szCs w:val="15"/>
                <w:color w:val="auto"/>
              </w:rPr>
            </w:pPr>
          </w:p>
        </w:tc>
        <w:tc>
          <w:tcPr>
            <w:tcW w:w="1100" w:type="dxa"/>
            <w:vAlign w:val="bottom"/>
            <w:tcBorders>
              <w:bottom w:val="single" w:sz="8" w:color="auto"/>
              <w:right w:val="single" w:sz="8" w:color="auto"/>
            </w:tcBorders>
          </w:tcPr>
          <w:p>
            <w:pPr>
              <w:spacing w:after="0"/>
              <w:rPr>
                <w:sz w:val="15"/>
                <w:szCs w:val="15"/>
                <w:color w:val="auto"/>
              </w:rPr>
            </w:pPr>
          </w:p>
        </w:tc>
        <w:tc>
          <w:tcPr>
            <w:tcW w:w="106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3000" w:type="dxa"/>
            <w:vAlign w:val="bottom"/>
            <w:tcBorders>
              <w:left w:val="single" w:sz="8" w:color="auto"/>
              <w:right w:val="single" w:sz="8" w:color="auto"/>
            </w:tcBorders>
          </w:tcPr>
          <w:p>
            <w:pPr>
              <w:spacing w:after="0"/>
              <w:rPr>
                <w:sz w:val="13"/>
                <w:szCs w:val="13"/>
                <w:color w:val="auto"/>
              </w:rPr>
            </w:pP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4"/>
              </w:rPr>
              <w:t>Total Shares</w:t>
            </w:r>
          </w:p>
        </w:tc>
        <w:tc>
          <w:tcPr>
            <w:tcW w:w="1080" w:type="dxa"/>
            <w:vAlign w:val="bottom"/>
            <w:tcBorders>
              <w:right w:val="single" w:sz="8" w:color="auto"/>
            </w:tcBorders>
          </w:tcPr>
          <w:p>
            <w:pPr>
              <w:spacing w:after="0"/>
              <w:rPr>
                <w:sz w:val="13"/>
                <w:szCs w:val="13"/>
                <w:color w:val="auto"/>
              </w:rPr>
            </w:pPr>
          </w:p>
        </w:tc>
        <w:tc>
          <w:tcPr>
            <w:tcW w:w="1100" w:type="dxa"/>
            <w:vAlign w:val="bottom"/>
            <w:tcBorders>
              <w:right w:val="single" w:sz="8" w:color="auto"/>
            </w:tcBorders>
          </w:tcPr>
          <w:p>
            <w:pPr>
              <w:spacing w:after="0"/>
              <w:rPr>
                <w:sz w:val="13"/>
                <w:szCs w:val="13"/>
                <w:color w:val="auto"/>
              </w:rPr>
            </w:pPr>
          </w:p>
        </w:tc>
        <w:tc>
          <w:tcPr>
            <w:tcW w:w="1100" w:type="dxa"/>
            <w:vAlign w:val="bottom"/>
            <w:tcBorders>
              <w:right w:val="single" w:sz="8" w:color="auto"/>
            </w:tcBorders>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3000" w:type="dxa"/>
            <w:vAlign w:val="bottom"/>
            <w:tcBorders>
              <w:left w:val="single" w:sz="8" w:color="auto"/>
              <w:bottom w:val="single" w:sz="8" w:color="auto"/>
              <w:right w:val="single" w:sz="8" w:color="auto"/>
            </w:tcBorders>
          </w:tcPr>
          <w:p>
            <w:pPr>
              <w:spacing w:after="0"/>
              <w:rPr>
                <w:sz w:val="3"/>
                <w:szCs w:val="3"/>
                <w:color w:val="auto"/>
              </w:rPr>
            </w:pPr>
          </w:p>
        </w:tc>
        <w:tc>
          <w:tcPr>
            <w:tcW w:w="1080" w:type="dxa"/>
            <w:vAlign w:val="bottom"/>
            <w:tcBorders>
              <w:bottom w:val="single" w:sz="8" w:color="auto"/>
              <w:right w:val="single" w:sz="8" w:color="auto"/>
            </w:tcBorders>
          </w:tcPr>
          <w:p>
            <w:pPr>
              <w:spacing w:after="0"/>
              <w:rPr>
                <w:sz w:val="3"/>
                <w:szCs w:val="3"/>
                <w:color w:val="auto"/>
              </w:rPr>
            </w:pPr>
          </w:p>
        </w:tc>
        <w:tc>
          <w:tcPr>
            <w:tcW w:w="1080" w:type="dxa"/>
            <w:vAlign w:val="bottom"/>
            <w:tcBorders>
              <w:bottom w:val="single" w:sz="8" w:color="auto"/>
              <w:right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10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640" w:hanging="348"/>
        <w:spacing w:after="0"/>
        <w:tabs>
          <w:tab w:leader="none" w:pos="64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Need not be completed by book-entry stockholders.</w:t>
      </w:r>
    </w:p>
    <w:p>
      <w:pPr>
        <w:spacing w:after="0" w:line="42" w:lineRule="exact"/>
        <w:rPr>
          <w:sz w:val="20"/>
          <w:szCs w:val="20"/>
          <w:color w:val="auto"/>
        </w:rPr>
      </w:pPr>
    </w:p>
    <w:p>
      <w:pPr>
        <w:ind w:left="640" w:hanging="348"/>
        <w:spacing w:after="0"/>
        <w:tabs>
          <w:tab w:leader="none" w:pos="64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Unless otherwise indicated, it will be assumed that all Shares represented by certificates described above are being surrendered hereby.</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71" w:name="page72"/>
    <w:bookmarkEnd w:id="71"/>
    <w:p>
      <w:pPr>
        <w:ind w:left="300" w:right="77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PLEASE READ THE INSTRUCTIONS ACCOMPANYING THIS LETTER OF TRANSMITTAL CAREFULLY BEFORE COMPLETING THIS LETTER OF TRANSMITTAL.</w:t>
      </w:r>
    </w:p>
    <w:p>
      <w:pPr>
        <w:spacing w:after="0" w:line="47" w:lineRule="exact"/>
        <w:rPr>
          <w:sz w:val="20"/>
          <w:szCs w:val="20"/>
          <w:color w:val="auto"/>
        </w:rPr>
      </w:pPr>
    </w:p>
    <w:p>
      <w:pPr>
        <w:ind w:left="300" w:right="31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IF YOU WOULD LIKE ADDITIONAL COPIES OF THIS LETTER OF TRANSMITTAL OR ANY OF THE OTHER OFFERING DOCUMENTS, YOU SHOULD CONTACT THE INFORMATION AGENT, INNISFREE M&amp;A INCORPORATED, AT: (866) 239-1760 (TOLL-FREE FROM THE U.S. AND CANADA) OR +1 (412) 232-3651 (FROM OTHER COUNTRIES) FOR STOCKHOLDERS OR AT (212) 750-5833 FOR BANKS AND BROKERS.</w:t>
      </w:r>
    </w:p>
    <w:p>
      <w:pPr>
        <w:spacing w:after="0" w:line="75" w:lineRule="exact"/>
        <w:rPr>
          <w:sz w:val="20"/>
          <w:szCs w:val="20"/>
          <w:color w:val="auto"/>
        </w:rPr>
      </w:pPr>
    </w:p>
    <w:p>
      <w:pPr>
        <w:ind w:left="300" w:right="899" w:firstLine="360"/>
        <w:spacing w:after="0" w:line="272" w:lineRule="auto"/>
        <w:rPr>
          <w:sz w:val="20"/>
          <w:szCs w:val="20"/>
          <w:color w:val="auto"/>
        </w:rPr>
      </w:pPr>
      <w:r>
        <w:rPr>
          <w:rFonts w:ascii="Times New Roman" w:cs="Times New Roman" w:eastAsia="Times New Roman" w:hAnsi="Times New Roman"/>
          <w:sz w:val="17"/>
          <w:szCs w:val="17"/>
          <w:color w:val="auto"/>
        </w:rPr>
        <w:t>You have received this Letter of Transmittal in connection with the offer of Peach Purchaser Sub Inc., a Delaware corporation (“Purchaser”) and a wholly-owned subsidiary of Viatris Inc., a Delaware corporation (“Viatris”), to purchase all of the issued and outstanding shares of common stock, par value $0.001 per share</w:t>
      </w:r>
    </w:p>
    <w:p>
      <w:pPr>
        <w:spacing w:after="0" w:line="2" w:lineRule="exact"/>
        <w:rPr>
          <w:sz w:val="20"/>
          <w:szCs w:val="20"/>
          <w:color w:val="auto"/>
        </w:rPr>
      </w:pPr>
    </w:p>
    <w:p>
      <w:pPr>
        <w:ind w:left="300" w:right="399"/>
        <w:spacing w:after="0" w:line="271" w:lineRule="auto"/>
        <w:rPr>
          <w:sz w:val="20"/>
          <w:szCs w:val="20"/>
          <w:color w:val="auto"/>
        </w:rPr>
      </w:pPr>
      <w:r>
        <w:rPr>
          <w:rFonts w:ascii="Times New Roman" w:cs="Times New Roman" w:eastAsia="Times New Roman" w:hAnsi="Times New Roman"/>
          <w:sz w:val="17"/>
          <w:szCs w:val="17"/>
          <w:color w:val="auto"/>
        </w:rPr>
        <w:t>(the “Shares”), of Pacira BioSciences, Inc., a Delaware corporation (“Pacira”), at a price of $36.50 per Share, to the seller thereof in cash, net of applicable withholding taxes and without interest (such amount, or any higher amount per Share paid pursuant to the Offer (as defined below), the “Offer Price”), as described in the Offer to Purchase, dated October 30, 2026 (as it may be amended or supplemented from time to time, the “Offer to Purchase” and, together with this Letter of Transmittal, as it may be amended or supplemented from time to time, the “Offer”).</w:t>
      </w:r>
    </w:p>
    <w:p>
      <w:pPr>
        <w:spacing w:after="0" w:line="66" w:lineRule="exact"/>
        <w:rPr>
          <w:sz w:val="20"/>
          <w:szCs w:val="20"/>
          <w:color w:val="auto"/>
        </w:rPr>
      </w:pPr>
    </w:p>
    <w:p>
      <w:pPr>
        <w:ind w:left="300" w:right="579" w:firstLine="360"/>
        <w:spacing w:after="0" w:line="255" w:lineRule="auto"/>
        <w:rPr>
          <w:sz w:val="20"/>
          <w:szCs w:val="20"/>
          <w:color w:val="auto"/>
        </w:rPr>
      </w:pPr>
      <w:r>
        <w:rPr>
          <w:rFonts w:ascii="Times New Roman" w:cs="Times New Roman" w:eastAsia="Times New Roman" w:hAnsi="Times New Roman"/>
          <w:sz w:val="18"/>
          <w:szCs w:val="18"/>
          <w:color w:val="auto"/>
        </w:rPr>
        <w:t>You should use this Letter of Transmittal to deliver to Equiniti Trust Company, LLC, in its capacity as depositary and paying agent for the Offer (the “Depositary”), Shares represented by stock certificates, or held in book-entry form on the books of Pacira, for tender. If you are delivering your Shares by book-entry transfer to an account maintained by the Depositary at The Depository Trust Company (“DTC”), you must use an Agent’s Message (as defined in Instruction 2 below). In this Letter of Transmittal, stockholders who deliver certificates representing their Shares are referred to as “Certificate Stockholders,” and stockholders who deliver their Shares through book-entry transfer are referred to as “Book-Entry Stockholders.”</w:t>
      </w:r>
    </w:p>
    <w:p>
      <w:pPr>
        <w:spacing w:after="0" w:line="81" w:lineRule="exact"/>
        <w:rPr>
          <w:sz w:val="20"/>
          <w:szCs w:val="20"/>
          <w:color w:val="auto"/>
        </w:rPr>
      </w:pPr>
    </w:p>
    <w:p>
      <w:pPr>
        <w:ind w:left="300" w:right="359" w:firstLine="360"/>
        <w:spacing w:after="0" w:line="277" w:lineRule="auto"/>
        <w:rPr>
          <w:sz w:val="20"/>
          <w:szCs w:val="20"/>
          <w:color w:val="auto"/>
        </w:rPr>
      </w:pPr>
      <w:r>
        <w:rPr>
          <w:rFonts w:ascii="Times New Roman" w:cs="Times New Roman" w:eastAsia="Times New Roman" w:hAnsi="Times New Roman"/>
          <w:sz w:val="17"/>
          <w:szCs w:val="17"/>
          <w:color w:val="auto"/>
        </w:rPr>
        <w:t xml:space="preserve">If certificates for your Shares are not immediately available or you cannot complete the procedure for delivery by book-entry transfer on a timely basis, or you otherwise cannot deliver all required documents to the Depositary before the Offer expires, you may be able to tender your Shares by properly completing and duly executing a Notice of Guaranteed Delivery pursuant to the guaranteed delivery procedures set forth in Section 3 of the Offer to Purchase. See Instruction 2 below. </w:t>
      </w:r>
      <w:r>
        <w:rPr>
          <w:rFonts w:ascii="Times New Roman" w:cs="Times New Roman" w:eastAsia="Times New Roman" w:hAnsi="Times New Roman"/>
          <w:sz w:val="17"/>
          <w:szCs w:val="17"/>
          <w:b w:val="1"/>
          <w:bCs w:val="1"/>
          <w:color w:val="auto"/>
        </w:rPr>
        <w:t>Delivery of documents to DTC will not constitute delivery to the Depositary.</w:t>
      </w:r>
    </w:p>
    <w:p>
      <w:pPr>
        <w:spacing w:after="0" w:line="204" w:lineRule="exact"/>
        <w:rPr>
          <w:sz w:val="20"/>
          <w:szCs w:val="20"/>
          <w:color w:val="auto"/>
        </w:rPr>
      </w:pPr>
    </w:p>
    <w:p>
      <w:pPr>
        <w:ind w:left="940" w:right="819" w:hanging="644"/>
        <w:spacing w:after="0" w:line="262" w:lineRule="auto"/>
        <w:tabs>
          <w:tab w:leader="none" w:pos="940" w:val="left"/>
        </w:tabs>
        <w:numPr>
          <w:ilvl w:val="0"/>
          <w:numId w:val="80"/>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CHECK HERE IF TENDERED SHARES ARE BEING DELIVERED BY BOOK-ENTRY TRANSFER TO THE ACCOUNT MAINTAINED BY THE DEPOSITARY WITH DTC, AND COMPLETE THE FOLLOWING (ONLY FINANCIAL INSTITUTIONS THAT ARE PARTICIPANTS IN DTC MAY DELIVER SHARES BY BOOK-ENTRY TRANSFER):</w:t>
      </w:r>
    </w:p>
    <w:p>
      <w:pPr>
        <w:spacing w:after="0" w:line="207" w:lineRule="exact"/>
        <w:rPr>
          <w:rFonts w:ascii="MS PGothic" w:cs="MS PGothic" w:eastAsia="MS PGothic" w:hAnsi="MS PGothic"/>
          <w:sz w:val="18"/>
          <w:szCs w:val="18"/>
          <w:color w:val="auto"/>
        </w:rPr>
      </w:pPr>
    </w:p>
    <w:p>
      <w:pPr>
        <w:ind w:left="940" w:right="6679"/>
        <w:spacing w:after="0" w:line="290" w:lineRule="auto"/>
        <w:rPr>
          <w:rFonts w:ascii="MS PGothic" w:cs="MS PGothic" w:eastAsia="MS PGothic" w:hAnsi="MS PGothic"/>
          <w:sz w:val="18"/>
          <w:szCs w:val="18"/>
          <w:color w:val="auto"/>
        </w:rPr>
      </w:pPr>
      <w:r>
        <w:rPr>
          <w:rFonts w:ascii="Times New Roman" w:cs="Times New Roman" w:eastAsia="Times New Roman" w:hAnsi="Times New Roman"/>
          <w:sz w:val="17"/>
          <w:szCs w:val="17"/>
          <w:color w:val="auto"/>
        </w:rPr>
        <w:t>Name of Tendering Institution:</w:t>
      </w:r>
    </w:p>
    <w:p>
      <w:pPr>
        <w:ind w:left="940" w:right="6899"/>
        <w:spacing w:after="0" w:line="290" w:lineRule="auto"/>
        <w:rPr>
          <w:rFonts w:ascii="MS PGothic" w:cs="MS PGothic" w:eastAsia="MS PGothic" w:hAnsi="MS PGothic"/>
          <w:sz w:val="18"/>
          <w:szCs w:val="18"/>
          <w:color w:val="auto"/>
        </w:rPr>
      </w:pPr>
      <w:r>
        <w:rPr>
          <w:rFonts w:ascii="Times New Roman" w:cs="Times New Roman" w:eastAsia="Times New Roman" w:hAnsi="Times New Roman"/>
          <w:sz w:val="17"/>
          <w:szCs w:val="17"/>
          <w:color w:val="auto"/>
        </w:rPr>
        <w:t>DTC Participant Number:</w:t>
      </w:r>
    </w:p>
    <w:p>
      <w:pPr>
        <w:ind w:left="940" w:right="6819"/>
        <w:spacing w:after="0" w:line="282" w:lineRule="auto"/>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Transaction Code Number:</w:t>
      </w:r>
    </w:p>
    <w:p>
      <w:pPr>
        <w:spacing w:after="0" w:line="211" w:lineRule="exact"/>
        <w:rPr>
          <w:rFonts w:ascii="MS PGothic" w:cs="MS PGothic" w:eastAsia="MS PGothic" w:hAnsi="MS PGothic"/>
          <w:sz w:val="18"/>
          <w:szCs w:val="18"/>
          <w:color w:val="auto"/>
        </w:rPr>
      </w:pPr>
    </w:p>
    <w:p>
      <w:pPr>
        <w:ind w:left="940" w:right="359" w:hanging="644"/>
        <w:spacing w:after="0" w:line="262" w:lineRule="auto"/>
        <w:tabs>
          <w:tab w:leader="none" w:pos="940" w:val="left"/>
        </w:tabs>
        <w:numPr>
          <w:ilvl w:val="0"/>
          <w:numId w:val="80"/>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CHECK HERE IF TENDERED SHARES ARE BEING DELIVERED PURSUANT TO A NOTICE OF GUARANTEED DELIVERY PREVIOUSLY SENT TO THE DEPOSITARY AND COMPLETE THE FOLLOWING (PLEASE ENCLOSE A PHOTOCOPY OF SUCH NOTICE OF GUARANTEED DELIVERY):</w:t>
      </w:r>
    </w:p>
    <w:p>
      <w:pPr>
        <w:spacing w:after="0" w:line="220" w:lineRule="exact"/>
        <w:rPr>
          <w:rFonts w:ascii="MS PGothic" w:cs="MS PGothic" w:eastAsia="MS PGothic" w:hAnsi="MS PGothic"/>
          <w:sz w:val="18"/>
          <w:szCs w:val="18"/>
          <w:color w:val="auto"/>
        </w:rPr>
      </w:pPr>
    </w:p>
    <w:p>
      <w:pPr>
        <w:ind w:left="94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Name(s) of Registered Owner(s):</w:t>
      </w:r>
    </w:p>
    <w:p>
      <w:pPr>
        <w:spacing w:after="0" w:line="49" w:lineRule="exact"/>
        <w:rPr>
          <w:rFonts w:ascii="MS PGothic" w:cs="MS PGothic" w:eastAsia="MS PGothic" w:hAnsi="MS PGothic"/>
          <w:sz w:val="18"/>
          <w:szCs w:val="18"/>
          <w:color w:val="auto"/>
        </w:rPr>
      </w:pPr>
    </w:p>
    <w:p>
      <w:pPr>
        <w:ind w:left="940" w:right="4339"/>
        <w:spacing w:after="0" w:line="273" w:lineRule="auto"/>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Window Ticket Number (if any) or DTC Participant Number:</w:t>
      </w:r>
    </w:p>
    <w:p>
      <w:pPr>
        <w:spacing w:after="0" w:line="1" w:lineRule="exact"/>
        <w:rPr>
          <w:rFonts w:ascii="MS PGothic" w:cs="MS PGothic" w:eastAsia="MS PGothic" w:hAnsi="MS PGothic"/>
          <w:sz w:val="18"/>
          <w:szCs w:val="18"/>
          <w:color w:val="auto"/>
        </w:rPr>
      </w:pPr>
    </w:p>
    <w:p>
      <w:pPr>
        <w:ind w:left="940" w:right="4979"/>
        <w:spacing w:after="0" w:line="273" w:lineRule="auto"/>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Date of Execution of Notice of Guaranteed Delivery:</w:t>
      </w:r>
    </w:p>
    <w:p>
      <w:pPr>
        <w:spacing w:after="0" w:line="1" w:lineRule="exact"/>
        <w:rPr>
          <w:rFonts w:ascii="MS PGothic" w:cs="MS PGothic" w:eastAsia="MS PGothic" w:hAnsi="MS PGothic"/>
          <w:sz w:val="18"/>
          <w:szCs w:val="18"/>
          <w:color w:val="auto"/>
        </w:rPr>
      </w:pPr>
    </w:p>
    <w:p>
      <w:pPr>
        <w:ind w:left="940" w:right="5319"/>
        <w:spacing w:after="0" w:line="282" w:lineRule="auto"/>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Name of Institution which Guaranteed Delivery: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1694180</wp:posOffset>
            </wp:positionH>
            <wp:positionV relativeFrom="paragraph">
              <wp:posOffset>-2534285</wp:posOffset>
            </wp:positionV>
            <wp:extent cx="38404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1">
                      <a:extLst>
                        <a:ext uri="{28A0092B-C50C-407E-A947-70E740481C1C}"/>
                      </a:extLst>
                    </a:blip>
                    <a:srcRect/>
                    <a:stretch>
                      <a:fillRect/>
                    </a:stretch>
                  </pic:blipFill>
                  <pic:spPr bwMode="auto">
                    <a:xfrm>
                      <a:off x="0" y="0"/>
                      <a:ext cx="3840480" cy="8255"/>
                    </a:xfrm>
                    <a:prstGeom prst="rect">
                      <a:avLst/>
                    </a:prstGeom>
                    <a:noFill/>
                  </pic:spPr>
                </pic:pic>
              </a:graphicData>
            </a:graphic>
          </wp:anchor>
        </w:drawing>
        <w:drawing>
          <wp:anchor simplePos="0" relativeHeight="251657728" behindDoc="1" locked="0" layoutInCell="0" allowOverlap="1">
            <wp:simplePos x="0" y="0"/>
            <wp:positionH relativeFrom="column">
              <wp:posOffset>1694180</wp:posOffset>
            </wp:positionH>
            <wp:positionV relativeFrom="paragraph">
              <wp:posOffset>-2233930</wp:posOffset>
            </wp:positionV>
            <wp:extent cx="38404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2">
                      <a:extLst>
                        <a:ext uri="{28A0092B-C50C-407E-A947-70E740481C1C}"/>
                      </a:extLst>
                    </a:blip>
                    <a:srcRect/>
                    <a:stretch>
                      <a:fillRect/>
                    </a:stretch>
                  </pic:blipFill>
                  <pic:spPr bwMode="auto">
                    <a:xfrm>
                      <a:off x="0" y="0"/>
                      <a:ext cx="3840480" cy="8255"/>
                    </a:xfrm>
                    <a:prstGeom prst="rect">
                      <a:avLst/>
                    </a:prstGeom>
                    <a:noFill/>
                  </pic:spPr>
                </pic:pic>
              </a:graphicData>
            </a:graphic>
          </wp:anchor>
        </w:drawing>
        <w:drawing>
          <wp:anchor simplePos="0" relativeHeight="251657728" behindDoc="1" locked="0" layoutInCell="0" allowOverlap="1">
            <wp:simplePos x="0" y="0"/>
            <wp:positionH relativeFrom="column">
              <wp:posOffset>1694180</wp:posOffset>
            </wp:positionH>
            <wp:positionV relativeFrom="paragraph">
              <wp:posOffset>-1917065</wp:posOffset>
            </wp:positionV>
            <wp:extent cx="38404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3">
                      <a:extLst>
                        <a:ext uri="{28A0092B-C50C-407E-A947-70E740481C1C}"/>
                      </a:extLst>
                    </a:blip>
                    <a:srcRect/>
                    <a:stretch>
                      <a:fillRect/>
                    </a:stretch>
                  </pic:blipFill>
                  <pic:spPr bwMode="auto">
                    <a:xfrm>
                      <a:off x="0" y="0"/>
                      <a:ext cx="3840480" cy="8890"/>
                    </a:xfrm>
                    <a:prstGeom prst="rect">
                      <a:avLst/>
                    </a:prstGeom>
                    <a:noFill/>
                  </pic:spPr>
                </pic:pic>
              </a:graphicData>
            </a:graphic>
          </wp:anchor>
        </w:drawing>
        <w:drawing>
          <wp:anchor simplePos="0" relativeHeight="251657728" behindDoc="1" locked="0" layoutInCell="0" allowOverlap="1">
            <wp:simplePos x="0" y="0"/>
            <wp:positionH relativeFrom="column">
              <wp:posOffset>3202940</wp:posOffset>
            </wp:positionH>
            <wp:positionV relativeFrom="paragraph">
              <wp:posOffset>-913765</wp:posOffset>
            </wp:positionV>
            <wp:extent cx="23317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4">
                      <a:extLst>
                        <a:ext uri="{28A0092B-C50C-407E-A947-70E740481C1C}"/>
                      </a:extLst>
                    </a:blip>
                    <a:srcRect/>
                    <a:stretch>
                      <a:fillRect/>
                    </a:stretch>
                  </pic:blipFill>
                  <pic:spPr bwMode="auto">
                    <a:xfrm>
                      <a:off x="0" y="0"/>
                      <a:ext cx="2331720" cy="8255"/>
                    </a:xfrm>
                    <a:prstGeom prst="rect">
                      <a:avLst/>
                    </a:prstGeom>
                    <a:noFill/>
                  </pic:spPr>
                </pic:pic>
              </a:graphicData>
            </a:graphic>
          </wp:anchor>
        </w:drawing>
        <w:drawing>
          <wp:anchor simplePos="0" relativeHeight="251657728" behindDoc="1" locked="0" layoutInCell="0" allowOverlap="1">
            <wp:simplePos x="0" y="0"/>
            <wp:positionH relativeFrom="column">
              <wp:posOffset>3202940</wp:posOffset>
            </wp:positionH>
            <wp:positionV relativeFrom="paragraph">
              <wp:posOffset>-614045</wp:posOffset>
            </wp:positionV>
            <wp:extent cx="23317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5">
                      <a:extLst>
                        <a:ext uri="{28A0092B-C50C-407E-A947-70E740481C1C}"/>
                      </a:extLst>
                    </a:blip>
                    <a:srcRect/>
                    <a:stretch>
                      <a:fillRect/>
                    </a:stretch>
                  </pic:blipFill>
                  <pic:spPr bwMode="auto">
                    <a:xfrm>
                      <a:off x="0" y="0"/>
                      <a:ext cx="2331720" cy="8255"/>
                    </a:xfrm>
                    <a:prstGeom prst="rect">
                      <a:avLst/>
                    </a:prstGeom>
                    <a:noFill/>
                  </pic:spPr>
                </pic:pic>
              </a:graphicData>
            </a:graphic>
          </wp:anchor>
        </w:drawing>
        <w:drawing>
          <wp:anchor simplePos="0" relativeHeight="251657728" behindDoc="1" locked="0" layoutInCell="0" allowOverlap="1">
            <wp:simplePos x="0" y="0"/>
            <wp:positionH relativeFrom="column">
              <wp:posOffset>3202940</wp:posOffset>
            </wp:positionH>
            <wp:positionV relativeFrom="paragraph">
              <wp:posOffset>-313690</wp:posOffset>
            </wp:positionV>
            <wp:extent cx="23317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6">
                      <a:extLst>
                        <a:ext uri="{28A0092B-C50C-407E-A947-70E740481C1C}"/>
                      </a:extLst>
                    </a:blip>
                    <a:srcRect/>
                    <a:stretch>
                      <a:fillRect/>
                    </a:stretch>
                  </pic:blipFill>
                  <pic:spPr bwMode="auto">
                    <a:xfrm>
                      <a:off x="0" y="0"/>
                      <a:ext cx="2331720" cy="8890"/>
                    </a:xfrm>
                    <a:prstGeom prst="rect">
                      <a:avLst/>
                    </a:prstGeom>
                    <a:noFill/>
                  </pic:spPr>
                </pic:pic>
              </a:graphicData>
            </a:graphic>
          </wp:anchor>
        </w:drawing>
        <w:drawing>
          <wp:anchor simplePos="0" relativeHeight="251657728" behindDoc="1" locked="0" layoutInCell="0" allowOverlap="1">
            <wp:simplePos x="0" y="0"/>
            <wp:positionH relativeFrom="column">
              <wp:posOffset>3202940</wp:posOffset>
            </wp:positionH>
            <wp:positionV relativeFrom="paragraph">
              <wp:posOffset>2540</wp:posOffset>
            </wp:positionV>
            <wp:extent cx="23317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7">
                      <a:extLst>
                        <a:ext uri="{28A0092B-C50C-407E-A947-70E740481C1C}"/>
                      </a:extLst>
                    </a:blip>
                    <a:srcRect/>
                    <a:stretch>
                      <a:fillRect/>
                    </a:stretch>
                  </pic:blipFill>
                  <pic:spPr bwMode="auto">
                    <a:xfrm>
                      <a:off x="0" y="0"/>
                      <a:ext cx="2331720" cy="8890"/>
                    </a:xfrm>
                    <a:prstGeom prst="rect">
                      <a:avLst/>
                    </a:prstGeom>
                    <a:noFill/>
                  </pic:spPr>
                </pic:pic>
              </a:graphicData>
            </a:graphic>
          </wp:anchor>
        </w:drawing>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39" w:right="1440" w:bottom="1440" w:gutter="0" w:footer="0" w:header="0"/>
        </w:sectPr>
      </w:pPr>
    </w:p>
    <w:bookmarkStart w:id="72" w:name="page73"/>
    <w:bookmarkEnd w:id="7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 SIGNATURES MUST BE PROVIDED BELOW.</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PLEASE READ THE ACCOMPANYING INSTRUCTIONS CAREFULLY.</w:t>
      </w:r>
    </w:p>
    <w:p>
      <w:pPr>
        <w:spacing w:after="0" w:line="1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The undersigned hereby tenders to Peach Purchaser Sub Inc., a Delaware corporation (“Purchaser”) and a wholly-owned subsidiary of Viatris Inc., a Delaware corporation (“Viatris”), the above-described shares of common stock, par value $0.001 per share (the “Shares”), of Pacira BioSciences, Inc., a Delaware corporation (“Pacira”), at a price of $36.50 per Share, to the seller thereof in cash, net of applicable withholding taxes and without interest (such amount, or any higher amount per Share paid pursuant to the Offer (as defined below), the “Offer Price”), on the terms and subject to the conditions set forth in the Offer to Purchase, receipt of which is hereby acknowledged, and this Letter of Transmittal (as it may be amended or supplemented from time to time, this “Letter of Transmittal” and, together with the Offer to Purchase, as it may be amended or supplemented from time to time, the “Offer”). Capitalized terms used and not otherwise defined herein have the respective meanings ascribed to such terms in the Offer to Purchase.</w:t>
      </w:r>
    </w:p>
    <w:p>
      <w:pPr>
        <w:spacing w:after="0" w:line="86" w:lineRule="exact"/>
        <w:rPr>
          <w:sz w:val="20"/>
          <w:szCs w:val="20"/>
          <w:color w:val="auto"/>
        </w:rPr>
      </w:pPr>
    </w:p>
    <w:p>
      <w:pPr>
        <w:ind w:left="300" w:right="319" w:firstLine="360"/>
        <w:spacing w:after="0" w:line="252" w:lineRule="auto"/>
        <w:rPr>
          <w:sz w:val="20"/>
          <w:szCs w:val="20"/>
          <w:color w:val="auto"/>
        </w:rPr>
      </w:pPr>
      <w:r>
        <w:rPr>
          <w:rFonts w:ascii="Times New Roman" w:cs="Times New Roman" w:eastAsia="Times New Roman" w:hAnsi="Times New Roman"/>
          <w:sz w:val="18"/>
          <w:szCs w:val="18"/>
          <w:color w:val="auto"/>
        </w:rPr>
        <w:t>On the terms and subject to the conditions of the Offer (including, if the Offer is extended or amended, the terms and conditions of such extension or amendment), subject to, and effective upon, acceptance for payment of the Shares validly tendered herewith prior to the Expiration Date, and not properly withdrawn pursuant to the terms of the Offer, the undersigned hereby sells, assigns and transfers to, or upon the order of, Purchaser, all right, title and interest in and to all of the Shares being tendered hereby and with respect to any and all other securities issued or issuable in respect of such Shares on or after the date hereof (collectively, “Distributions”). In addition, the undersigned hereby irrevocably appoints Equiniti Trust Company, LLC (the “Depositary”) as the true and lawful agent and attorney-in-fact and proxy of the undersigned with respect to such Shares and any Distributions with full power of substitution (such proxy and power of attorney being deemed to be an irrevocable power coupled with an interest in the tendered shares) to the full extent of such stockholder’s rights with respect to such Shares and any Distributions to (a) deliver certificates representing Shares (the “Share Certificates”) and any Distributions, or transfer of ownership of such Shares and any Distributions on the account books maintained by DTC, together, in either such case, with all accompanying evidence of transfer and authenticity, to or upon the order of Purchaser,</w:t>
      </w:r>
    </w:p>
    <w:p>
      <w:pPr>
        <w:spacing w:after="0" w:line="1" w:lineRule="exact"/>
        <w:rPr>
          <w:sz w:val="20"/>
          <w:szCs w:val="20"/>
          <w:color w:val="auto"/>
        </w:rPr>
      </w:pPr>
    </w:p>
    <w:p>
      <w:pPr>
        <w:ind w:left="300" w:right="339" w:hanging="8"/>
        <w:spacing w:after="0" w:line="255" w:lineRule="auto"/>
        <w:tabs>
          <w:tab w:leader="none" w:pos="55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 such Shares and any Distributions for transfer on the books of Pacira, and (c) receive all benefits and otherwise exercise all rights of beneficial ownership of such Shares and any Distributions, all in accordance with the terms and subject to the conditions of the Offer.</w:t>
      </w:r>
    </w:p>
    <w:p>
      <w:pPr>
        <w:spacing w:after="0" w:line="78" w:lineRule="exact"/>
        <w:rPr>
          <w:sz w:val="20"/>
          <w:szCs w:val="20"/>
          <w:color w:val="auto"/>
        </w:rPr>
      </w:pPr>
    </w:p>
    <w:p>
      <w:pPr>
        <w:ind w:left="300" w:right="339" w:firstLine="360"/>
        <w:spacing w:after="0" w:line="252" w:lineRule="auto"/>
        <w:rPr>
          <w:sz w:val="20"/>
          <w:szCs w:val="20"/>
          <w:color w:val="auto"/>
        </w:rPr>
      </w:pPr>
      <w:r>
        <w:rPr>
          <w:rFonts w:ascii="Times New Roman" w:cs="Times New Roman" w:eastAsia="Times New Roman" w:hAnsi="Times New Roman"/>
          <w:sz w:val="18"/>
          <w:szCs w:val="18"/>
          <w:color w:val="auto"/>
        </w:rPr>
        <w:t>The undersigned hereby irrevocably appoints each of the designees of Purchaser the attorneys-in-fact and proxies of the undersigned, each with full power of substitution, to the full extent of such stockholder’s rights with respect to the Shares tendered hereby and accepted for payment by Purchaser and with respect to any Distributions. The designees of Purchaser will, with respect to the Shares and any associated Distributions for which the appointment is effective, be empowered to exercise all voting and any other rights of such stockholder, as they, in their sole discretion, may deem proper at any annual, special, adjourned or postponed meeting of Pacira’s stockholders, by written consent in lieu of any such meeting or otherwise. This proxy and power of attorney shall be irrevocable and coupled with an interest in the tendered Shares. Such appointment is effective when, and only to the extent that, Purchaser accepts the Shares tendered with this Letter of Transmittal for payment pursuant to the Offer. Upon the effectiveness of such appointment, all prior powers of attorney, proxies and consents given by such stockholder with respect to such Shares and any associated Distributions will, without further action, be revoked and no subsequent powers of attorney, proxies, consents or revocations may be given by such stockholder (and, if given, will not be deemed effective). Purchaser reserves the right to require that, in order for Shares to be deemed validly tendered, immediately upon Purchaser’s acceptance for payment of such Shares, Purchaser must be able to exercise full voting, consent and other rights, to the extent permitted under applicable law, with respect to such Shares and any associated Distributions.</w:t>
      </w:r>
    </w:p>
    <w:p>
      <w:pPr>
        <w:spacing w:after="0" w:line="87" w:lineRule="exact"/>
        <w:rPr>
          <w:sz w:val="20"/>
          <w:szCs w:val="20"/>
          <w:color w:val="auto"/>
        </w:rPr>
      </w:pPr>
    </w:p>
    <w:p>
      <w:pPr>
        <w:ind w:left="300" w:right="299" w:firstLine="360"/>
        <w:spacing w:after="0" w:line="272" w:lineRule="auto"/>
        <w:rPr>
          <w:sz w:val="20"/>
          <w:szCs w:val="20"/>
          <w:color w:val="auto"/>
        </w:rPr>
      </w:pPr>
      <w:r>
        <w:rPr>
          <w:rFonts w:ascii="Times New Roman" w:cs="Times New Roman" w:eastAsia="Times New Roman" w:hAnsi="Times New Roman"/>
          <w:sz w:val="17"/>
          <w:szCs w:val="17"/>
          <w:color w:val="auto"/>
        </w:rPr>
        <w:t>The undersigned hereby represents and warrants that the undersigned has full power and authority to tender, sell, assign and transfer the Shares and any Distributions tendered hereby and, when the same are accepted for payment by Purchaser, Purchaser will acquire good, marketable and unencumbered title thereto, free and clear of all liens, restrictions, charges and encumbrances and the same will not be subject to any adverse claim. The undersigned hereby represents and warrants that the undersigned is the registered owner of the Shares, or the Share Certificate(s) have been endorsed to the undersigned in blank, or the undersigned is a participant in DTC whose name appears on a security position listing as the owner of the Shares. The undersigned will, upon request, execute and deliver any additional documents deemed by the Depositary or Purchaser to be necessary or desirable to complete the sale,</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39" w:right="1440" w:bottom="1440" w:gutter="0" w:footer="0" w:header="0"/>
        </w:sectPr>
      </w:pPr>
    </w:p>
    <w:bookmarkStart w:id="73" w:name="page74"/>
    <w:bookmarkEnd w:id="73"/>
    <w:p>
      <w:pPr>
        <w:ind w:left="300" w:right="359"/>
        <w:spacing w:after="0" w:line="256" w:lineRule="auto"/>
        <w:rPr>
          <w:sz w:val="20"/>
          <w:szCs w:val="20"/>
          <w:color w:val="auto"/>
        </w:rPr>
      </w:pPr>
      <w:r>
        <w:rPr>
          <w:rFonts w:ascii="Times New Roman" w:cs="Times New Roman" w:eastAsia="Times New Roman" w:hAnsi="Times New Roman"/>
          <w:sz w:val="18"/>
          <w:szCs w:val="18"/>
          <w:color w:val="auto"/>
        </w:rPr>
        <w:t>assignment and transfer of the Shares and any Distributions tendered hereby. In addition, the undersigned shall promptly remit and transfer to the Depositary for the account of Purchaser any and all Distributions in respect of the Shares tendered hereby, accompanied by appropriate documentation of transfer and, pending such remittance or appropriate assurance thereof, Purchaser shall be entitled to all rights and privileges as owner of any such Distributions and may withhold the entire purchase price or deduct from the purchase price the amount or value thereof, as determined by Purchaser in its sole discretion.</w:t>
      </w:r>
    </w:p>
    <w:p>
      <w:pPr>
        <w:spacing w:after="0" w:line="79"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It is understood that the undersigned will not receive payment for the Shares unless and until the Shares are accepted for payment and until the Share Certificate(s) owned by the undersigned are received by the Depositary at the address set forth above, together with such additional documents as the Depositary may require, or, in the case of Shares held in book-entry form, ownership of Shares is validly transferred on the account books maintained by DTC, and until the same are processed for payment by the Depositary.</w:t>
      </w:r>
    </w:p>
    <w:p>
      <w:pPr>
        <w:spacing w:after="0" w:line="71" w:lineRule="exact"/>
        <w:rPr>
          <w:sz w:val="20"/>
          <w:szCs w:val="20"/>
          <w:color w:val="auto"/>
        </w:rPr>
      </w:pPr>
    </w:p>
    <w:p>
      <w:pPr>
        <w:ind w:left="300" w:right="379" w:firstLine="360"/>
        <w:spacing w:after="0" w:line="270" w:lineRule="auto"/>
        <w:rPr>
          <w:sz w:val="20"/>
          <w:szCs w:val="20"/>
          <w:color w:val="auto"/>
        </w:rPr>
      </w:pPr>
      <w:r>
        <w:rPr>
          <w:rFonts w:ascii="Times New Roman" w:cs="Times New Roman" w:eastAsia="Times New Roman" w:hAnsi="Times New Roman"/>
          <w:sz w:val="17"/>
          <w:szCs w:val="17"/>
          <w:b w:val="1"/>
          <w:bCs w:val="1"/>
          <w:color w:val="auto"/>
        </w:rPr>
        <w:t>IT IS UNDERSTOOD THAT THE METHOD OF DELIVERY OF THE SHARES, THE SHARE CERTIFICATE(S) AND ALL OTHER REQUIRED DOCUMENTS (INCLUDING DELIVERY THROUGH DTC) IS AT THE OPTION AND RISK OF THE UNDERSIGNED AND THAT THE RISK OF LOSS OF SUCH SHARES, SHARE CERTIFICATE(S) AND OTHER DOCUMENTS SHALL PASS ONLY AFTER THE DEPOSITARY HAS ACTUALLY RECEIVED THE SHARES OR SHARE CERTIFICATE(S) (INCLUDING, IN THE CASE OF A BOOK-ENTRY TRANSFER, BY BOOK-ENTRY CONFIRMATION (AS DEFINED BELOW)). IF DELIVERY IS BY MAIL, IT IS RECOMMENDED THAT ALL SUCH DOCUMENTS BE SENT BY PROPERLY INSURED REGISTERED MAIL WITH RETURN RECEIPT REQUESTED. DELIVERY WILL BE DEEMED EFFECTIVE AND RISK OF LOSS AND TITLE WILL PASS FROM THE OWNER ONLY WHEN RECEIVED BY THE EXCHANGE AGENT. IN ALL CASES, SUFFICIENT TIME SHOULD BE ALLOWED TO ENSURE TIMELY DELIVERY</w:t>
      </w:r>
      <w:r>
        <w:rPr>
          <w:rFonts w:ascii="Times New Roman" w:cs="Times New Roman" w:eastAsia="Times New Roman" w:hAnsi="Times New Roman"/>
          <w:sz w:val="17"/>
          <w:szCs w:val="17"/>
          <w:color w:val="auto"/>
        </w:rPr>
        <w:t>.</w:t>
      </w:r>
    </w:p>
    <w:p>
      <w:pPr>
        <w:spacing w:after="0" w:line="69" w:lineRule="exact"/>
        <w:rPr>
          <w:sz w:val="20"/>
          <w:szCs w:val="20"/>
          <w:color w:val="auto"/>
        </w:rPr>
      </w:pPr>
    </w:p>
    <w:p>
      <w:pPr>
        <w:ind w:left="300" w:right="319" w:firstLine="360"/>
        <w:spacing w:after="0" w:line="281" w:lineRule="auto"/>
        <w:rPr>
          <w:sz w:val="20"/>
          <w:szCs w:val="20"/>
          <w:color w:val="auto"/>
        </w:rPr>
      </w:pPr>
      <w:r>
        <w:rPr>
          <w:rFonts w:ascii="Times New Roman" w:cs="Times New Roman" w:eastAsia="Times New Roman" w:hAnsi="Times New Roman"/>
          <w:sz w:val="17"/>
          <w:szCs w:val="17"/>
          <w:color w:val="auto"/>
        </w:rPr>
        <w:t>All authority herein conferred or agreed to be conferred pursuant to this Letter of Transmittal shall not be affected by, and shall survive, the death or incapacity of the undersigned and any obligation of the undersigned hereunder shall be binding upon the heirs, executors, administrators, trustees in bankruptcy, personal representatives, successors and assigns of the undersigned. Except as stated in the Offer to Purchase, this tender is irrevocable.</w:t>
      </w:r>
    </w:p>
    <w:p>
      <w:pPr>
        <w:spacing w:after="0" w:line="56" w:lineRule="exact"/>
        <w:rPr>
          <w:sz w:val="20"/>
          <w:szCs w:val="20"/>
          <w:color w:val="auto"/>
        </w:rPr>
      </w:pPr>
    </w:p>
    <w:p>
      <w:pPr>
        <w:ind w:left="300" w:right="339" w:firstLine="360"/>
        <w:spacing w:after="0" w:line="255" w:lineRule="auto"/>
        <w:rPr>
          <w:sz w:val="20"/>
          <w:szCs w:val="20"/>
          <w:color w:val="auto"/>
        </w:rPr>
      </w:pPr>
      <w:r>
        <w:rPr>
          <w:rFonts w:ascii="Times New Roman" w:cs="Times New Roman" w:eastAsia="Times New Roman" w:hAnsi="Times New Roman"/>
          <w:sz w:val="18"/>
          <w:szCs w:val="18"/>
          <w:color w:val="auto"/>
        </w:rPr>
        <w:t>The undersigned understands that the valid tender of Shares pursuant to any of the procedures described in the Offer to Purchase and in the instructions hereto will constitute the undersigned’s acceptance of the terms and conditions of the Offer. Purchaser’s acceptance of such Shares for payment will constitute a binding agreement between the undersigned and Purchaser upon the terms and subject to the conditions of the Offer (and, if the Offer is extended or amended, the terms and conditions of such extension or amendment). The undersigned recognizes that, under certain circumstances set forth in the Offer, Purchaser may not be required to accept for payment any Shares tendered hereby.</w:t>
      </w:r>
    </w:p>
    <w:p>
      <w:pPr>
        <w:spacing w:after="0" w:line="81" w:lineRule="exact"/>
        <w:rPr>
          <w:sz w:val="20"/>
          <w:szCs w:val="20"/>
          <w:color w:val="auto"/>
        </w:rPr>
      </w:pPr>
    </w:p>
    <w:p>
      <w:pPr>
        <w:ind w:left="300" w:right="319" w:firstLine="360"/>
        <w:spacing w:after="0" w:line="252" w:lineRule="auto"/>
        <w:rPr>
          <w:sz w:val="20"/>
          <w:szCs w:val="20"/>
          <w:color w:val="auto"/>
        </w:rPr>
      </w:pPr>
      <w:r>
        <w:rPr>
          <w:rFonts w:ascii="Times New Roman" w:cs="Times New Roman" w:eastAsia="Times New Roman" w:hAnsi="Times New Roman"/>
          <w:sz w:val="18"/>
          <w:szCs w:val="18"/>
          <w:color w:val="auto"/>
        </w:rPr>
        <w:t>Unless otherwise indicated herein under “Special Payment Instructions,” please issue the check for the aggregate Offer Price for all Shares purchased in the name(s) of, and/or return any Share Certificates representing Shares not tendered or accepted for payment to, the registered owner(s) appearing under “Description of Shares Tendered.” Similarly, unless otherwise indicated under “Special Delivery Instructions,” please mail the check for the aggregate Offer Price for all Shares purchased and/or return any Share Certificates representing Shares not tendered or accepted for payment (and accompanying documents, as appropriate) to the address(es) of the registered owner(s) appearing under “Description of Shares Tendered.” In the event that both the Special Delivery Instructions and the Special Payment Instructions are completed, please issue the check for the aggregate Offer Price for all Shares purchased and/or issue any Share Certificates representing Shares not tendered or accepted for payment (and any accompanying documents, as appropriate) in the name of, and deliver such check and/or return such Share Certificates (and any accompanying documents, as appropriate) to, the person or persons so indicated. Unless otherwise indicated herein in the box titled “Special Payment Instructions,” please credit any Shares tendered hereby or by an Agent’s Message and delivered by book-entry transfer, but which are not purchased, by crediting the account (at DTC or otherwise) designated above. The undersigned recognizes that Purchaser has no obligation pursuant to the Special Payment Instructions to transfer any Shares from the name of the registered owner thereof if Purchaser does not accept for payment any of the Shares so tendered.</w:t>
      </w:r>
    </w:p>
    <w:p>
      <w:pPr>
        <w:spacing w:after="0" w:line="87" w:lineRule="exact"/>
        <w:rPr>
          <w:sz w:val="20"/>
          <w:szCs w:val="20"/>
          <w:color w:val="auto"/>
        </w:rPr>
      </w:pPr>
    </w:p>
    <w:p>
      <w:pPr>
        <w:ind w:left="300" w:right="819" w:firstLine="360"/>
        <w:spacing w:after="0" w:line="282" w:lineRule="auto"/>
        <w:rPr>
          <w:sz w:val="20"/>
          <w:szCs w:val="20"/>
          <w:color w:val="auto"/>
        </w:rPr>
      </w:pPr>
      <w:r>
        <w:rPr>
          <w:rFonts w:ascii="Times New Roman" w:cs="Times New Roman" w:eastAsia="Times New Roman" w:hAnsi="Times New Roman"/>
          <w:sz w:val="18"/>
          <w:szCs w:val="18"/>
          <w:color w:val="auto"/>
        </w:rPr>
        <w:t>This Letter of Transmittal shall be governed by and construed in accordance with the laws of the State of Delaware, without regard to the conflicts of law rules of such State.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74" w:name="page75"/>
    <w:bookmarkEnd w:id="74"/>
    <w:p>
      <w:pPr>
        <w:ind w:left="300" w:right="339" w:firstLine="360"/>
        <w:spacing w:after="0" w:line="267" w:lineRule="auto"/>
        <w:rPr>
          <w:sz w:val="20"/>
          <w:szCs w:val="20"/>
          <w:color w:val="auto"/>
        </w:rPr>
      </w:pPr>
      <w:r>
        <w:rPr>
          <w:rFonts w:ascii="Times New Roman" w:cs="Times New Roman" w:eastAsia="Times New Roman" w:hAnsi="Times New Roman"/>
          <w:sz w:val="17"/>
          <w:szCs w:val="17"/>
          <w:b w:val="1"/>
          <w:bCs w:val="1"/>
          <w:color w:val="auto"/>
        </w:rPr>
        <w:t>BY EXECUTING THIS LETTER OF TRANSMITTAL, WITH RESPECT TO ANY ACTION OR PROCEEDING ARISING OUT OF OR RELATING TO THIS LETTER OF TRANSMITTAL OR ANY OF THE TRANSACTIONS DESCRIBED HEREIN OR CONTEMPLATED HEREBY OR BY THE OFFER TO PURCHASE (OR FOR RECOGNITION AND ENFORCEMENT OF ANY JUDGMENT IN RESPECT THEREOF), THE UNDERSIGNED HEREBY: (I) (A) CONSENTS AND SUBMITS TO THE EXCLUSIVE PERSONAL JURISDICTION OF THE COURT OF CHANCERY OF THE STATE OF DELAWARE, OR, IF THAT COURT DOES NOT HAVE JURISDICTION, A FEDERAL COURT OR OTHER STATE COURT SITTING IN NEW CASTLE COUNTY IN THE STATE OF DELAWARE, (B) AGREES THAT ALL CLAIMS IN RESPECT OF SUCH ACTION OR PROCEEDING SHALL BE HEARD AND DETERMINED IN ANY SUCH COURT, (C) AGREES NOT ATTEMPT TO DENY OR DEFEAT SUCH PERSONAL JURISDICTION BY MOTION OR OTHER REQUEST FOR LEAVE FROM ANY SUCH COURT, AND (D) AGREES NOT TO BRING ANY SUCH ACTION OR PROCEEDING IN ANY OTHER COURT,</w:t>
      </w:r>
    </w:p>
    <w:p>
      <w:pPr>
        <w:spacing w:after="0" w:line="5" w:lineRule="exact"/>
        <w:rPr>
          <w:sz w:val="20"/>
          <w:szCs w:val="20"/>
          <w:color w:val="auto"/>
        </w:rPr>
      </w:pPr>
    </w:p>
    <w:p>
      <w:pPr>
        <w:ind w:left="300" w:right="499" w:hanging="8"/>
        <w:spacing w:after="0" w:line="269" w:lineRule="auto"/>
        <w:tabs>
          <w:tab w:leader="none" w:pos="602" w:val="left"/>
        </w:tabs>
        <w:numPr>
          <w:ilvl w:val="0"/>
          <w:numId w:val="8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WAIVES ANY DEFENSE OF INCONVENIENT FORUM TO THE MAINTENANCE OF ANY SUCH ACTION OR PROCEEDING SO BROUGHT AND WAIVES ANY BOND, SURETY OR OTHER SECURITY THAT MIGHT BE REQUIRED OF ANY OTHER PERSON WITH RESPECT THERETO AND (III) ACKNOWLEDGES AND AGREES THAT ANY CONTROVERSY WHICH MAY ARISE UNDER THIS LETTER OF TRANSMITTAL IS LIKELY TO INVOLVE COMPLICATED AND DIFFICULT ISSUES, AND THEREFORE IRREVOCABLY AND UNCONDITIONALLY WAIVES, TO THE FULLEST EXTENT PERMITTED BY APPLICABLE LAW, ANY RIGHT TO A TRIAL BY JURY.</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39" w:right="1440" w:bottom="1440" w:gutter="0" w:footer="0" w:header="0"/>
        </w:sectPr>
      </w:pPr>
    </w:p>
    <w:bookmarkStart w:id="75" w:name="page76"/>
    <w:bookmarkEnd w:id="75"/>
    <w:p>
      <w:pPr>
        <w:ind w:left="300"/>
        <w:spacing w:after="0"/>
        <w:rPr>
          <w:sz w:val="20"/>
          <w:szCs w:val="20"/>
          <w:color w:val="auto"/>
        </w:rPr>
      </w:pPr>
      <w:r>
        <w:rPr>
          <w:rFonts w:ascii="Times New Roman" w:cs="Times New Roman" w:eastAsia="Times New Roman" w:hAnsi="Times New Roman"/>
          <w:sz w:val="18"/>
          <w:szCs w:val="18"/>
          <w:b w:val="1"/>
          <w:bCs w:val="1"/>
          <w:color w:val="auto"/>
        </w:rPr>
        <w:t>SPECIAL PAYMENT INSTRUCTIONS</w:t>
      </w:r>
    </w:p>
    <w:p>
      <w:pPr>
        <w:spacing w:after="0" w:line="360"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u w:val="single" w:color="auto"/>
          <w:color w:val="auto"/>
        </w:rPr>
        <w:t>Medallion Guaranty Stamp Required</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(See Instructions 1, 4, 5 and 7)</w:t>
      </w:r>
    </w:p>
    <w:p>
      <w:pPr>
        <w:spacing w:after="0" w:line="99" w:lineRule="exact"/>
        <w:rPr>
          <w:sz w:val="20"/>
          <w:szCs w:val="20"/>
          <w:color w:val="auto"/>
        </w:rPr>
      </w:pPr>
    </w:p>
    <w:p>
      <w:pPr>
        <w:ind w:left="300" w:right="539" w:firstLine="360"/>
        <w:spacing w:after="0" w:line="261" w:lineRule="auto"/>
        <w:rPr>
          <w:sz w:val="20"/>
          <w:szCs w:val="20"/>
          <w:color w:val="auto"/>
        </w:rPr>
      </w:pPr>
      <w:r>
        <w:rPr>
          <w:rFonts w:ascii="Times New Roman" w:cs="Times New Roman" w:eastAsia="Times New Roman" w:hAnsi="Times New Roman"/>
          <w:sz w:val="18"/>
          <w:szCs w:val="18"/>
          <w:color w:val="auto"/>
        </w:rPr>
        <w:t>To be completed ONLY if Share Certificate(s) not tendered or not accepted for payment and/or the check for the purchase price in consideration of Shares accepted for payment are to be issued in the name of someone other than the undersigned or if Shares tendered by book-entry transfer which are not accepted for payment are to be returned by credit to an account maintained at DTC other than that designated above.</w:t>
      </w:r>
    </w:p>
    <w:p>
      <w:pPr>
        <w:spacing w:after="0" w:line="179" w:lineRule="exact"/>
        <w:rPr>
          <w:sz w:val="20"/>
          <w:szCs w:val="20"/>
          <w:color w:val="auto"/>
        </w:rPr>
      </w:pPr>
    </w:p>
    <w:p>
      <w:pPr>
        <w:ind w:left="300"/>
        <w:spacing w:after="0" w:line="207" w:lineRule="exact"/>
        <w:tabs>
          <w:tab w:leader="none" w:pos="1140" w:val="left"/>
        </w:tabs>
        <w:rPr>
          <w:sz w:val="20"/>
          <w:szCs w:val="20"/>
          <w:color w:val="auto"/>
        </w:rPr>
      </w:pPr>
      <w:r>
        <w:rPr>
          <w:rFonts w:ascii="Times New Roman" w:cs="Times New Roman" w:eastAsia="Times New Roman" w:hAnsi="Times New Roman"/>
          <w:sz w:val="18"/>
          <w:szCs w:val="18"/>
          <w:color w:val="auto"/>
        </w:rPr>
        <w:t>Issue:</w:t>
      </w:r>
      <w:r>
        <w:rPr>
          <w:sz w:val="20"/>
          <w:szCs w:val="20"/>
          <w:color w:val="auto"/>
        </w:rPr>
        <w:tab/>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Check and/or 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Share Certificates to:</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34290</wp:posOffset>
            </wp:positionV>
            <wp:extent cx="480060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2">
                      <a:extLst>
                        <a:ext uri="{28A0092B-C50C-407E-A947-70E740481C1C}"/>
                      </a:extLst>
                    </a:blip>
                    <a:srcRect/>
                    <a:stretch>
                      <a:fillRect/>
                    </a:stretch>
                  </pic:blipFill>
                  <pic:spPr bwMode="auto">
                    <a:xfrm>
                      <a:off x="0" y="0"/>
                      <a:ext cx="4800600" cy="8255"/>
                    </a:xfrm>
                    <a:prstGeom prst="rect">
                      <a:avLst/>
                    </a:prstGeom>
                    <a:noFill/>
                  </pic:spPr>
                </pic:pic>
              </a:graphicData>
            </a:graphic>
          </wp:anchor>
        </w:drawing>
      </w: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(Please Print)</w:t>
      </w:r>
    </w:p>
    <w:p>
      <w:pPr>
        <w:spacing w:after="0" w:line="2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34290</wp:posOffset>
            </wp:positionV>
            <wp:extent cx="480060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3">
                      <a:extLst>
                        <a:ext uri="{28A0092B-C50C-407E-A947-70E740481C1C}"/>
                      </a:extLst>
                    </a:blip>
                    <a:srcRect/>
                    <a:stretch>
                      <a:fillRect/>
                    </a:stretch>
                  </pic:blipFill>
                  <pic:spPr bwMode="auto">
                    <a:xfrm>
                      <a:off x="0" y="0"/>
                      <a:ext cx="480060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368935</wp:posOffset>
            </wp:positionV>
            <wp:extent cx="534924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4">
                      <a:extLst>
                        <a:ext uri="{28A0092B-C50C-407E-A947-70E740481C1C}"/>
                      </a:extLst>
                    </a:blip>
                    <a:srcRect/>
                    <a:stretch>
                      <a:fillRect/>
                    </a:stretch>
                  </pic:blipFill>
                  <pic:spPr bwMode="auto">
                    <a:xfrm>
                      <a:off x="0" y="0"/>
                      <a:ext cx="534924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702945</wp:posOffset>
            </wp:positionV>
            <wp:extent cx="534924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5">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(Include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191135</wp:posOffset>
            </wp:positionV>
            <wp:extent cx="534924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6">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(Tax Identification or Social Security Number)</w:t>
      </w:r>
    </w:p>
    <w:p>
      <w:pPr>
        <w:spacing w:after="0" w:line="279" w:lineRule="exact"/>
        <w:rPr>
          <w:sz w:val="20"/>
          <w:szCs w:val="20"/>
          <w:color w:val="auto"/>
        </w:rPr>
      </w:pPr>
    </w:p>
    <w:p>
      <w:pPr>
        <w:ind w:left="1160" w:right="739" w:hanging="864"/>
        <w:spacing w:after="0" w:line="286" w:lineRule="auto"/>
        <w:tabs>
          <w:tab w:leader="none" w:pos="1160" w:val="left"/>
        </w:tabs>
        <w:numPr>
          <w:ilvl w:val="0"/>
          <w:numId w:val="83"/>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Credit Shares tendered by book-entry transfer that are not accepted for payment to the DTC account set forth below</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146685</wp:posOffset>
            </wp:positionV>
            <wp:extent cx="534924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7">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(DTC Account Number)</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DELIVERY INSTRUCTIONS</w:t>
      </w:r>
    </w:p>
    <w:p>
      <w:pPr>
        <w:spacing w:after="0" w:line="360"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u w:val="single" w:color="auto"/>
          <w:color w:val="auto"/>
        </w:rPr>
        <w:t>Medallion Guaranty Stamp Required</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(See Instructions 1, 4, 5 and 7)</w:t>
      </w:r>
    </w:p>
    <w:p>
      <w:pPr>
        <w:spacing w:after="0" w:line="99" w:lineRule="exact"/>
        <w:rPr>
          <w:sz w:val="20"/>
          <w:szCs w:val="20"/>
          <w:color w:val="auto"/>
        </w:rPr>
      </w:pPr>
    </w:p>
    <w:p>
      <w:pPr>
        <w:jc w:val="both"/>
        <w:ind w:left="300" w:right="539" w:firstLine="360"/>
        <w:spacing w:after="0" w:line="266" w:lineRule="auto"/>
        <w:rPr>
          <w:sz w:val="20"/>
          <w:szCs w:val="20"/>
          <w:color w:val="auto"/>
        </w:rPr>
      </w:pPr>
      <w:r>
        <w:rPr>
          <w:rFonts w:ascii="Times New Roman" w:cs="Times New Roman" w:eastAsia="Times New Roman" w:hAnsi="Times New Roman"/>
          <w:sz w:val="18"/>
          <w:szCs w:val="18"/>
          <w:color w:val="auto"/>
        </w:rPr>
        <w:t>To be completed ONLY if Share Certificate(s) not tendered or not accepted for payment and/or the check for the purchase price of Shares accepted for payment are to be sent to someone other than the undersigned or to the undersigned at an address other than that shown in the box titled “Description of Shares Tendered” above.</w:t>
      </w:r>
    </w:p>
    <w:p>
      <w:pPr>
        <w:spacing w:after="0" w:line="176" w:lineRule="exact"/>
        <w:rPr>
          <w:sz w:val="20"/>
          <w:szCs w:val="20"/>
          <w:color w:val="auto"/>
        </w:rPr>
      </w:pPr>
    </w:p>
    <w:p>
      <w:pPr>
        <w:ind w:left="300"/>
        <w:spacing w:after="0" w:line="207" w:lineRule="exact"/>
        <w:tabs>
          <w:tab w:leader="none" w:pos="1140" w:val="left"/>
        </w:tabs>
        <w:rPr>
          <w:sz w:val="20"/>
          <w:szCs w:val="20"/>
          <w:color w:val="auto"/>
        </w:rPr>
      </w:pPr>
      <w:r>
        <w:rPr>
          <w:rFonts w:ascii="Times New Roman" w:cs="Times New Roman" w:eastAsia="Times New Roman" w:hAnsi="Times New Roman"/>
          <w:sz w:val="18"/>
          <w:szCs w:val="18"/>
          <w:color w:val="auto"/>
        </w:rPr>
        <w:t>Deliver:</w:t>
      </w:r>
      <w:r>
        <w:rPr>
          <w:sz w:val="20"/>
          <w:szCs w:val="20"/>
          <w:color w:val="auto"/>
        </w:rPr>
        <w:tab/>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Check(s) and/or 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Share Certificates to:</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34290</wp:posOffset>
            </wp:positionV>
            <wp:extent cx="480060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8">
                      <a:extLst>
                        <a:ext uri="{28A0092B-C50C-407E-A947-70E740481C1C}"/>
                      </a:extLst>
                    </a:blip>
                    <a:srcRect/>
                    <a:stretch>
                      <a:fillRect/>
                    </a:stretch>
                  </pic:blipFill>
                  <pic:spPr bwMode="auto">
                    <a:xfrm>
                      <a:off x="0" y="0"/>
                      <a:ext cx="4800600" cy="8255"/>
                    </a:xfrm>
                    <a:prstGeom prst="rect">
                      <a:avLst/>
                    </a:prstGeom>
                    <a:noFill/>
                  </pic:spPr>
                </pic:pic>
              </a:graphicData>
            </a:graphic>
          </wp:anchor>
        </w:drawing>
      </w: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(Please Print)</w:t>
      </w:r>
    </w:p>
    <w:p>
      <w:pPr>
        <w:spacing w:after="0" w:line="2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34290</wp:posOffset>
            </wp:positionV>
            <wp:extent cx="480060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9">
                      <a:extLst>
                        <a:ext uri="{28A0092B-C50C-407E-A947-70E740481C1C}"/>
                      </a:extLst>
                    </a:blip>
                    <a:srcRect/>
                    <a:stretch>
                      <a:fillRect/>
                    </a:stretch>
                  </pic:blipFill>
                  <pic:spPr bwMode="auto">
                    <a:xfrm>
                      <a:off x="0" y="0"/>
                      <a:ext cx="480060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368935</wp:posOffset>
            </wp:positionV>
            <wp:extent cx="534924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0">
                      <a:extLst>
                        <a:ext uri="{28A0092B-C50C-407E-A947-70E740481C1C}"/>
                      </a:extLst>
                    </a:blip>
                    <a:srcRect/>
                    <a:stretch>
                      <a:fillRect/>
                    </a:stretch>
                  </pic:blipFill>
                  <pic:spPr bwMode="auto">
                    <a:xfrm>
                      <a:off x="0" y="0"/>
                      <a:ext cx="5349240" cy="889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702945</wp:posOffset>
            </wp:positionV>
            <wp:extent cx="534924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1">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(Include Zip Code)</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39" w:right="1440" w:bottom="1440" w:gutter="0" w:footer="0" w:header="0"/>
        </w:sectPr>
      </w:pPr>
    </w:p>
    <w:bookmarkStart w:id="76" w:name="page77"/>
    <w:bookmarkEnd w:id="7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IMPORTANT—SIGN HERE</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(U.S. Holders Please Also Complete the Enclosed IRS Form W-9)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(Non-U.S. Holders Please Obtain and Complete IRS Form W-8BEN or Other Applicable IRS Form W-8)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271780</wp:posOffset>
            </wp:positionV>
            <wp:extent cx="491172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3">
                      <a:extLst>
                        <a:ext uri="{28A0092B-C50C-407E-A947-70E740481C1C}"/>
                      </a:extLst>
                    </a:blip>
                    <a:srcRect/>
                    <a:stretch>
                      <a:fillRect/>
                    </a:stretch>
                  </pic:blipFill>
                  <pic:spPr bwMode="auto">
                    <a:xfrm>
                      <a:off x="0" y="0"/>
                      <a:ext cx="4911725" cy="825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 of Stockholder(s))</w:t>
      </w:r>
    </w:p>
    <w:p>
      <w:pPr>
        <w:spacing w:after="0" w:line="40" w:lineRule="exact"/>
        <w:rPr>
          <w:sz w:val="20"/>
          <w:szCs w:val="20"/>
          <w:color w:val="auto"/>
        </w:rPr>
      </w:pPr>
    </w:p>
    <w:p>
      <w:pPr>
        <w:ind w:left="300"/>
        <w:spacing w:after="0"/>
        <w:tabs>
          <w:tab w:leader="none" w:pos="960" w:val="left"/>
        </w:tabs>
        <w:rPr>
          <w:sz w:val="20"/>
          <w:szCs w:val="20"/>
          <w:color w:val="auto"/>
        </w:rPr>
      </w:pPr>
      <w:r>
        <w:rPr>
          <w:rFonts w:ascii="Times New Roman" w:cs="Times New Roman" w:eastAsia="Times New Roman" w:hAnsi="Times New Roman"/>
          <w:sz w:val="18"/>
          <w:szCs w:val="18"/>
          <w:color w:val="auto"/>
        </w:rPr>
        <w:t>Dated:</w:t>
        <w:tab/>
        <w:t>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-7620</wp:posOffset>
            </wp:positionV>
            <wp:extent cx="80010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4">
                      <a:extLst>
                        <a:ext uri="{28A0092B-C50C-407E-A947-70E740481C1C}"/>
                      </a:extLst>
                    </a:blip>
                    <a:srcRect/>
                    <a:stretch>
                      <a:fillRect/>
                    </a:stretch>
                  </pic:blipFill>
                  <pic:spPr bwMode="auto">
                    <a:xfrm>
                      <a:off x="0" y="0"/>
                      <a:ext cx="800100" cy="8255"/>
                    </a:xfrm>
                    <a:prstGeom prst="rect">
                      <a:avLst/>
                    </a:prstGeom>
                    <a:noFill/>
                  </pic:spPr>
                </pic:pic>
              </a:graphicData>
            </a:graphic>
          </wp:anchor>
        </w:drawing>
      </w:r>
    </w:p>
    <w:p>
      <w:pPr>
        <w:spacing w:after="0" w:line="151" w:lineRule="exact"/>
        <w:rPr>
          <w:sz w:val="20"/>
          <w:szCs w:val="20"/>
          <w:color w:val="auto"/>
        </w:rPr>
      </w:pPr>
    </w:p>
    <w:p>
      <w:pPr>
        <w:ind w:left="300" w:right="439" w:firstLine="360"/>
        <w:spacing w:after="0" w:line="258" w:lineRule="auto"/>
        <w:rPr>
          <w:sz w:val="20"/>
          <w:szCs w:val="20"/>
          <w:color w:val="auto"/>
        </w:rPr>
      </w:pPr>
      <w:r>
        <w:rPr>
          <w:rFonts w:ascii="Times New Roman" w:cs="Times New Roman" w:eastAsia="Times New Roman" w:hAnsi="Times New Roman"/>
          <w:sz w:val="18"/>
          <w:szCs w:val="18"/>
          <w:color w:val="auto"/>
        </w:rPr>
        <w:t>(Must be signed by registered owner(s) exactly as name(s) appear(s) on Share Certificate(s) or on a security position listing or by person(s) authorized to become registered owner(s) by certificates and documents transmitted herewith. If signature is by trustees, executors, administrators, guardians, attorneys-in-fact, officers of corporations or others acting in a fiduciary or representative capacity, please set forth full title and see Instruction 5. For information concerning signature guarantees, see Instruction 1.)</w:t>
      </w:r>
    </w:p>
    <w:p>
      <w:pPr>
        <w:spacing w:after="0" w:line="103" w:lineRule="exact"/>
        <w:rPr>
          <w:sz w:val="20"/>
          <w:szCs w:val="20"/>
          <w:color w:val="auto"/>
        </w:rPr>
      </w:pPr>
    </w:p>
    <w:tbl>
      <w:tblPr>
        <w:tblLayout w:type="fixed"/>
        <w:tblInd w:w="300" w:type="dxa"/>
        <w:tblCellMar>
          <w:top w:w="0" w:type="dxa"/>
          <w:left w:w="0" w:type="dxa"/>
          <w:bottom w:w="0" w:type="dxa"/>
          <w:right w:w="0" w:type="dxa"/>
        </w:tblCellMar>
      </w:tblPr>
      <w:tr>
        <w:trPr>
          <w:trHeight w:val="207"/>
        </w:trPr>
        <w:tc>
          <w:tcPr>
            <w:tcW w:w="800" w:type="dxa"/>
            <w:vAlign w:val="bottom"/>
            <w:gridSpan w:val="6"/>
          </w:tcPr>
          <w:p>
            <w:pPr>
              <w:spacing w:after="0"/>
              <w:rPr>
                <w:sz w:val="20"/>
                <w:szCs w:val="20"/>
                <w:color w:val="auto"/>
              </w:rPr>
            </w:pPr>
            <w:r>
              <w:rPr>
                <w:rFonts w:ascii="Times New Roman" w:cs="Times New Roman" w:eastAsia="Times New Roman" w:hAnsi="Times New Roman"/>
                <w:sz w:val="18"/>
                <w:szCs w:val="18"/>
                <w:color w:val="auto"/>
                <w:w w:val="87"/>
              </w:rPr>
              <w:t>Name(s):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jc w:val="right"/>
              <w:ind w:right="25"/>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40" w:type="dxa"/>
            <w:vAlign w:val="bottom"/>
          </w:tcPr>
          <w:p>
            <w:pPr>
              <w:spacing w:after="0"/>
              <w:rPr>
                <w:sz w:val="17"/>
                <w:szCs w:val="17"/>
                <w:color w:val="auto"/>
              </w:rPr>
            </w:pPr>
          </w:p>
        </w:tc>
        <w:tc>
          <w:tcPr>
            <w:tcW w:w="140" w:type="dxa"/>
            <w:vAlign w:val="bottom"/>
          </w:tcPr>
          <w:p>
            <w:pPr>
              <w:jc w:val="right"/>
              <w:ind w:right="38"/>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gridSpan w:val="2"/>
          </w:tcPr>
          <w:p>
            <w:pPr>
              <w:jc w:val="right"/>
              <w:ind w:right="58"/>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jc w:val="right"/>
              <w:ind w:right="1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 </w:t>
            </w:r>
          </w:p>
        </w:tc>
        <w:tc>
          <w:tcPr>
            <w:tcW w:w="1120" w:type="dxa"/>
            <w:vAlign w:val="bottom"/>
            <w:gridSpan w:val="7"/>
          </w:tcPr>
          <w:p>
            <w:pPr>
              <w:jc w:val="right"/>
              <w:ind w:right="7"/>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jc w:val="right"/>
              <w:ind w:right="14"/>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jc w:val="right"/>
              <w:ind w:right="13"/>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200" w:type="dxa"/>
            <w:vAlign w:val="bottom"/>
          </w:tcPr>
          <w:p>
            <w:pPr>
              <w:jc w:val="right"/>
              <w:ind w:right="5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jc w:val="right"/>
              <w:ind w:right="63"/>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385"/>
        </w:trPr>
        <w:tc>
          <w:tcPr>
            <w:tcW w:w="700" w:type="dxa"/>
            <w:vAlign w:val="bottom"/>
            <w:gridSpan w:val="5"/>
          </w:tcPr>
          <w:p>
            <w:pPr>
              <w:spacing w:after="0"/>
              <w:rPr>
                <w:sz w:val="24"/>
                <w:szCs w:val="24"/>
                <w:color w:val="auto"/>
              </w:rPr>
            </w:pPr>
          </w:p>
        </w:tc>
        <w:tc>
          <w:tcPr>
            <w:tcW w:w="7580" w:type="dxa"/>
            <w:vAlign w:val="bottom"/>
            <w:tcBorders>
              <w:top w:val="single" w:sz="8" w:color="auto"/>
            </w:tcBorders>
            <w:gridSpan w:val="54"/>
          </w:tcPr>
          <w:p>
            <w:pPr>
              <w:spacing w:after="0"/>
              <w:rPr>
                <w:sz w:val="20"/>
                <w:szCs w:val="20"/>
                <w:color w:val="auto"/>
              </w:rPr>
            </w:pPr>
            <w:r>
              <w:rPr>
                <w:rFonts w:ascii="Times New Roman" w:cs="Times New Roman" w:eastAsia="Times New Roman" w:hAnsi="Times New Roman"/>
                <w:sz w:val="18"/>
                <w:szCs w:val="18"/>
                <w:b w:val="1"/>
                <w:bCs w:val="1"/>
                <w:color w:val="auto"/>
              </w:rPr>
              <w:t>(Please Print)</w:t>
            </w:r>
          </w:p>
        </w:tc>
        <w:tc>
          <w:tcPr>
            <w:tcW w:w="160" w:type="dxa"/>
            <w:vAlign w:val="bottom"/>
            <w:gridSpan w:val="3"/>
          </w:tcPr>
          <w:p>
            <w:pPr>
              <w:spacing w:after="0"/>
              <w:rPr>
                <w:sz w:val="24"/>
                <w:szCs w:val="24"/>
                <w:color w:val="auto"/>
              </w:rPr>
            </w:pPr>
          </w:p>
        </w:tc>
      </w:tr>
      <w:tr>
        <w:trPr>
          <w:trHeight w:val="311"/>
        </w:trPr>
        <w:tc>
          <w:tcPr>
            <w:tcW w:w="1560" w:type="dxa"/>
            <w:vAlign w:val="bottom"/>
            <w:gridSpan w:val="14"/>
          </w:tcPr>
          <w:p>
            <w:pPr>
              <w:spacing w:after="0"/>
              <w:rPr>
                <w:sz w:val="20"/>
                <w:szCs w:val="20"/>
                <w:color w:val="auto"/>
              </w:rPr>
            </w:pPr>
            <w:r>
              <w:rPr>
                <w:rFonts w:ascii="Times New Roman" w:cs="Times New Roman" w:eastAsia="Times New Roman" w:hAnsi="Times New Roman"/>
                <w:sz w:val="18"/>
                <w:szCs w:val="18"/>
                <w:color w:val="auto"/>
                <w:w w:val="93"/>
              </w:rPr>
              <w:t>Capacity (full title):  </w:t>
            </w:r>
          </w:p>
        </w:tc>
        <w:tc>
          <w:tcPr>
            <w:tcW w:w="8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4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gridSpan w:val="2"/>
          </w:tcPr>
          <w:p>
            <w:pPr>
              <w:jc w:val="right"/>
              <w:ind w:right="18"/>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Pr>
          <w:p>
            <w:pPr>
              <w:ind w:left="8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40" w:type="dxa"/>
            <w:vAlign w:val="bottom"/>
          </w:tcPr>
          <w:p>
            <w:pPr>
              <w:spacing w:after="0"/>
              <w:rPr>
                <w:sz w:val="24"/>
                <w:szCs w:val="24"/>
                <w:color w:val="auto"/>
              </w:rPr>
            </w:pP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99"/>
              </w:rPr>
              <w:t> </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44"/>
        </w:trPr>
        <w:tc>
          <w:tcPr>
            <w:tcW w:w="800" w:type="dxa"/>
            <w:vAlign w:val="bottom"/>
            <w:gridSpan w:val="6"/>
          </w:tcPr>
          <w:p>
            <w:pPr>
              <w:spacing w:after="0"/>
              <w:rPr>
                <w:sz w:val="20"/>
                <w:szCs w:val="20"/>
                <w:color w:val="auto"/>
              </w:rPr>
            </w:pPr>
            <w:r>
              <w:rPr>
                <w:rFonts w:ascii="Times New Roman" w:cs="Times New Roman" w:eastAsia="Times New Roman" w:hAnsi="Times New Roman"/>
                <w:sz w:val="18"/>
                <w:szCs w:val="18"/>
                <w:color w:val="auto"/>
                <w:w w:val="90"/>
              </w:rPr>
              <w:t>Address: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jc w:val="right"/>
              <w:ind w:right="65"/>
              <w:spacing w:after="0"/>
              <w:rPr>
                <w:sz w:val="20"/>
                <w:szCs w:val="20"/>
                <w:color w:val="auto"/>
              </w:rPr>
            </w:pPr>
            <w:r>
              <w:rPr>
                <w:rFonts w:ascii="Times New Roman" w:cs="Times New Roman" w:eastAsia="Times New Roman" w:hAnsi="Times New Roman"/>
                <w:sz w:val="4"/>
                <w:szCs w:val="4"/>
                <w:color w:val="auto"/>
                <w:w w:val="98"/>
              </w:rPr>
              <w:t> </w:t>
            </w:r>
          </w:p>
        </w:tc>
        <w:tc>
          <w:tcPr>
            <w:tcW w:w="80" w:type="dxa"/>
            <w:vAlign w:val="bottom"/>
          </w:tcPr>
          <w:p>
            <w:pPr>
              <w:ind w:left="20"/>
              <w:spacing w:after="0"/>
              <w:rPr>
                <w:sz w:val="20"/>
                <w:szCs w:val="20"/>
                <w:color w:val="auto"/>
              </w:rPr>
            </w:pPr>
            <w:r>
              <w:rPr>
                <w:rFonts w:ascii="Times New Roman" w:cs="Times New Roman" w:eastAsia="Times New Roman" w:hAnsi="Times New Roman"/>
                <w:sz w:val="4"/>
                <w:szCs w:val="4"/>
                <w:color w:val="auto"/>
                <w:w w:val="98"/>
              </w:rPr>
              <w:t> </w:t>
            </w:r>
          </w:p>
        </w:tc>
        <w:tc>
          <w:tcPr>
            <w:tcW w:w="100" w:type="dxa"/>
            <w:vAlign w:val="bottom"/>
            <w:tcBorders>
              <w:top w:val="single" w:sz="8" w:color="auto"/>
            </w:tcBorders>
            <w:gridSpan w:val="2"/>
          </w:tcPr>
          <w:p>
            <w:pPr>
              <w:spacing w:after="0"/>
              <w:rPr>
                <w:sz w:val="24"/>
                <w:szCs w:val="24"/>
                <w:color w:val="auto"/>
              </w:rPr>
            </w:pPr>
          </w:p>
        </w:tc>
        <w:tc>
          <w:tcPr>
            <w:tcW w:w="18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top w:val="single" w:sz="8" w:color="auto"/>
            </w:tcBorders>
            <w:gridSpan w:val="2"/>
          </w:tcPr>
          <w:p>
            <w:pPr>
              <w:jc w:val="right"/>
              <w:ind w:right="78"/>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Borders>
              <w:top w:val="single" w:sz="8" w:color="auto"/>
            </w:tcBorders>
            <w:gridSpan w:val="2"/>
          </w:tcPr>
          <w:p>
            <w:pPr>
              <w:jc w:val="right"/>
              <w:ind w:right="98"/>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top w:val="single" w:sz="8" w:color="auto"/>
            </w:tcBorders>
          </w:tcPr>
          <w:p>
            <w:pPr>
              <w:jc w:val="right"/>
              <w:ind w:right="47"/>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top w:val="single" w:sz="8" w:color="auto"/>
            </w:tcBorders>
          </w:tcPr>
          <w:p>
            <w:pPr>
              <w:jc w:val="right"/>
              <w:ind w:right="54"/>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top w:val="single" w:sz="8" w:color="auto"/>
            </w:tcBorders>
          </w:tcPr>
          <w:p>
            <w:pPr>
              <w:jc w:val="right"/>
              <w:ind w:right="53"/>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top w:val="single" w:sz="8" w:color="auto"/>
            </w:tcBorders>
          </w:tcPr>
          <w:p>
            <w:pPr>
              <w:jc w:val="right"/>
              <w:ind w:right="57"/>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2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3"/>
                <w:szCs w:val="13"/>
                <w:color w:val="auto"/>
                <w:w w:val="76"/>
              </w:rPr>
              <w:t> </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45"/>
        </w:trPr>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w w:val="72"/>
              </w:rPr>
              <w:t> </w:t>
            </w:r>
          </w:p>
        </w:tc>
        <w:tc>
          <w:tcPr>
            <w:tcW w:w="2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88"/>
              </w:rPr>
              <w:t> </w:t>
            </w:r>
          </w:p>
        </w:tc>
        <w:tc>
          <w:tcPr>
            <w:tcW w:w="1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2"/>
                <w:szCs w:val="2"/>
                <w:color w:val="auto"/>
                <w:w w:val="97"/>
              </w:rPr>
              <w:t> </w:t>
            </w: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w w:val="70"/>
              </w:rPr>
              <w:t> </w:t>
            </w:r>
          </w:p>
        </w:tc>
        <w:tc>
          <w:tcPr>
            <w:tcW w:w="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400" w:type="dxa"/>
            <w:vAlign w:val="bottom"/>
            <w:tcBorders>
              <w:top w:val="single" w:sz="8" w:color="auto"/>
              <w:bottom w:val="single" w:sz="8" w:color="auto"/>
            </w:tcBorders>
            <w:gridSpan w:val="4"/>
          </w:tcPr>
          <w:p>
            <w:pPr>
              <w:jc w:val="right"/>
              <w:ind w:right="25"/>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Borders>
              <w:top w:val="single" w:sz="8" w:color="auto"/>
              <w:bottom w:val="single" w:sz="8" w:color="auto"/>
            </w:tcBorders>
            <w:gridSpan w:val="3"/>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top w:val="single" w:sz="8" w:color="auto"/>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4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jc w:val="right"/>
              <w:ind w:right="38"/>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Borders>
              <w:top w:val="single" w:sz="8" w:color="auto"/>
              <w:bottom w:val="single" w:sz="8" w:color="auto"/>
            </w:tcBorders>
            <w:gridSpan w:val="2"/>
          </w:tcPr>
          <w:p>
            <w:pPr>
              <w:jc w:val="right"/>
              <w:ind w:right="58"/>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top w:val="single" w:sz="8" w:color="auto"/>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top w:val="single" w:sz="8" w:color="auto"/>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360" w:type="dxa"/>
            <w:vAlign w:val="bottom"/>
            <w:tcBorders>
              <w:top w:val="single" w:sz="8" w:color="auto"/>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3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w:t>
            </w:r>
          </w:p>
        </w:tc>
        <w:tc>
          <w:tcPr>
            <w:tcW w:w="1120" w:type="dxa"/>
            <w:vAlign w:val="bottom"/>
            <w:tcBorders>
              <w:top w:val="single" w:sz="8" w:color="auto"/>
              <w:bottom w:val="single" w:sz="8" w:color="auto"/>
            </w:tcBorders>
            <w:gridSpan w:val="7"/>
          </w:tcPr>
          <w:p>
            <w:pPr>
              <w:jc w:val="right"/>
              <w:ind w:right="7"/>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360" w:type="dxa"/>
            <w:vAlign w:val="bottom"/>
            <w:tcBorders>
              <w:top w:val="single" w:sz="8" w:color="auto"/>
              <w:bottom w:val="single" w:sz="8" w:color="auto"/>
            </w:tcBorders>
            <w:gridSpan w:val="2"/>
          </w:tcPr>
          <w:p>
            <w:pPr>
              <w:jc w:val="right"/>
              <w:ind w:right="14"/>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360" w:type="dxa"/>
            <w:vAlign w:val="bottom"/>
            <w:tcBorders>
              <w:top w:val="single" w:sz="8" w:color="auto"/>
              <w:bottom w:val="single" w:sz="8" w:color="auto"/>
            </w:tcBorders>
            <w:gridSpan w:val="3"/>
          </w:tcPr>
          <w:p>
            <w:pPr>
              <w:jc w:val="right"/>
              <w:ind w:right="17"/>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8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4"/>
                <w:szCs w:val="4"/>
                <w:color w:val="auto"/>
                <w:w w:val="98"/>
              </w:rPr>
              <w:t> </w:t>
            </w:r>
          </w:p>
        </w:tc>
        <w:tc>
          <w:tcPr>
            <w:tcW w:w="260" w:type="dxa"/>
            <w:vAlign w:val="bottom"/>
            <w:tcBorders>
              <w:top w:val="single" w:sz="8" w:color="auto"/>
              <w:bottom w:val="single" w:sz="8" w:color="auto"/>
            </w:tcBorders>
            <w:gridSpan w:val="2"/>
          </w:tcPr>
          <w:p>
            <w:pPr>
              <w:ind w:left="120"/>
              <w:spacing w:after="0"/>
              <w:rPr>
                <w:sz w:val="20"/>
                <w:szCs w:val="20"/>
                <w:color w:val="auto"/>
              </w:rPr>
            </w:pPr>
            <w:r>
              <w:rPr>
                <w:rFonts w:ascii="Times New Roman" w:cs="Times New Roman" w:eastAsia="Times New Roman" w:hAnsi="Times New Roman"/>
                <w:sz w:val="17"/>
                <w:szCs w:val="17"/>
                <w:color w:val="auto"/>
                <w:w w:val="70"/>
              </w:rPr>
              <w:t> </w:t>
            </w:r>
          </w:p>
        </w:tc>
        <w:tc>
          <w:tcPr>
            <w:tcW w:w="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372"/>
        </w:trPr>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gridSpan w:val="10"/>
          </w:tcPr>
          <w:p>
            <w:pPr>
              <w:jc w:val="center"/>
              <w:ind w:left="17"/>
              <w:spacing w:after="0"/>
              <w:rPr>
                <w:sz w:val="20"/>
                <w:szCs w:val="20"/>
                <w:color w:val="auto"/>
              </w:rPr>
            </w:pPr>
            <w:r>
              <w:rPr>
                <w:rFonts w:ascii="Times New Roman" w:cs="Times New Roman" w:eastAsia="Times New Roman" w:hAnsi="Times New Roman"/>
                <w:sz w:val="18"/>
                <w:szCs w:val="18"/>
                <w:b w:val="1"/>
                <w:bCs w:val="1"/>
                <w:color w:val="auto"/>
                <w:w w:val="99"/>
              </w:rPr>
              <w:t>(Include Zip Code)</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24"/>
        </w:trPr>
        <w:tc>
          <w:tcPr>
            <w:tcW w:w="2640" w:type="dxa"/>
            <w:vAlign w:val="bottom"/>
            <w:gridSpan w:val="25"/>
          </w:tcPr>
          <w:p>
            <w:pPr>
              <w:spacing w:after="0"/>
              <w:rPr>
                <w:sz w:val="20"/>
                <w:szCs w:val="20"/>
                <w:color w:val="auto"/>
              </w:rPr>
            </w:pPr>
            <w:r>
              <w:rPr>
                <w:rFonts w:ascii="Times New Roman" w:cs="Times New Roman" w:eastAsia="Times New Roman" w:hAnsi="Times New Roman"/>
                <w:sz w:val="18"/>
                <w:szCs w:val="18"/>
                <w:color w:val="auto"/>
                <w:w w:val="93"/>
              </w:rPr>
              <w:t>Area Code and Telephone Number:  </w:t>
            </w:r>
          </w:p>
        </w:tc>
        <w:tc>
          <w:tcPr>
            <w:tcW w:w="180" w:type="dxa"/>
            <w:vAlign w:val="bottom"/>
          </w:tcPr>
          <w:p>
            <w:pPr>
              <w:ind w:left="140"/>
              <w:spacing w:after="0"/>
              <w:rPr>
                <w:sz w:val="20"/>
                <w:szCs w:val="20"/>
                <w:color w:val="auto"/>
              </w:rPr>
            </w:pPr>
            <w:r>
              <w:rPr>
                <w:rFonts w:ascii="Times New Roman" w:cs="Times New Roman" w:eastAsia="Times New Roman" w:hAnsi="Times New Roman"/>
                <w:sz w:val="2"/>
                <w:szCs w:val="2"/>
                <w:color w:val="auto"/>
                <w:w w:val="97"/>
              </w:rPr>
              <w:t>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Pr>
          <w:p>
            <w:pPr>
              <w:ind w:left="140"/>
              <w:spacing w:after="0"/>
              <w:rPr>
                <w:sz w:val="20"/>
                <w:szCs w:val="20"/>
                <w:color w:val="auto"/>
              </w:rPr>
            </w:pPr>
            <w:r>
              <w:rPr>
                <w:rFonts w:ascii="Times New Roman" w:cs="Times New Roman" w:eastAsia="Times New Roman" w:hAnsi="Times New Roman"/>
                <w:sz w:val="2"/>
                <w:szCs w:val="2"/>
                <w:color w:val="auto"/>
                <w:w w:val="97"/>
              </w:rPr>
              <w:t> </w:t>
            </w:r>
          </w:p>
        </w:tc>
        <w:tc>
          <w:tcPr>
            <w:tcW w:w="180" w:type="dxa"/>
            <w:vAlign w:val="bottom"/>
          </w:tcPr>
          <w:p>
            <w:pPr>
              <w:ind w:left="140"/>
              <w:spacing w:after="0"/>
              <w:rPr>
                <w:sz w:val="20"/>
                <w:szCs w:val="20"/>
                <w:color w:val="auto"/>
              </w:rPr>
            </w:pPr>
            <w:r>
              <w:rPr>
                <w:rFonts w:ascii="Times New Roman" w:cs="Times New Roman" w:eastAsia="Times New Roman" w:hAnsi="Times New Roman"/>
                <w:sz w:val="2"/>
                <w:szCs w:val="2"/>
                <w:color w:val="auto"/>
                <w:w w:val="97"/>
              </w:rPr>
              <w:t> </w:t>
            </w:r>
          </w:p>
        </w:tc>
        <w:tc>
          <w:tcPr>
            <w:tcW w:w="140" w:type="dxa"/>
            <w:vAlign w:val="bottom"/>
          </w:tcPr>
          <w:p>
            <w:pPr>
              <w:spacing w:after="0"/>
              <w:rPr>
                <w:sz w:val="24"/>
                <w:szCs w:val="24"/>
                <w:color w:val="auto"/>
              </w:rPr>
            </w:pPr>
          </w:p>
        </w:tc>
        <w:tc>
          <w:tcPr>
            <w:tcW w:w="180" w:type="dxa"/>
            <w:vAlign w:val="bottom"/>
          </w:tcPr>
          <w:p>
            <w:pPr>
              <w:jc w:val="right"/>
              <w:ind w:right="80"/>
              <w:spacing w:after="0"/>
              <w:rPr>
                <w:sz w:val="20"/>
                <w:szCs w:val="20"/>
                <w:color w:val="auto"/>
              </w:rPr>
            </w:pPr>
            <w:r>
              <w:rPr>
                <w:rFonts w:ascii="Times New Roman" w:cs="Times New Roman" w:eastAsia="Times New Roman" w:hAnsi="Times New Roman"/>
                <w:sz w:val="2"/>
                <w:szCs w:val="2"/>
                <w:color w:val="auto"/>
                <w:w w:val="97"/>
              </w:rPr>
              <w:t> </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 </w:t>
            </w:r>
          </w:p>
        </w:tc>
        <w:tc>
          <w:tcPr>
            <w:tcW w:w="40" w:type="dxa"/>
            <w:vAlign w:val="bottom"/>
          </w:tcPr>
          <w:p>
            <w:pPr>
              <w:spacing w:after="0"/>
              <w:rPr>
                <w:sz w:val="20"/>
                <w:szCs w:val="20"/>
                <w:color w:val="auto"/>
              </w:rPr>
            </w:pPr>
            <w:r>
              <w:rPr>
                <w:rFonts w:ascii="Times New Roman" w:cs="Times New Roman" w:eastAsia="Times New Roman" w:hAnsi="Times New Roman"/>
                <w:sz w:val="2"/>
                <w:szCs w:val="2"/>
                <w:color w:val="auto"/>
                <w:w w:val="97"/>
              </w:rPr>
              <w:t> </w:t>
            </w:r>
          </w:p>
        </w:tc>
        <w:tc>
          <w:tcPr>
            <w:tcW w:w="180" w:type="dxa"/>
            <w:vAlign w:val="bottom"/>
          </w:tcPr>
          <w:p>
            <w:pPr>
              <w:ind w:left="140"/>
              <w:spacing w:after="0"/>
              <w:rPr>
                <w:sz w:val="20"/>
                <w:szCs w:val="20"/>
                <w:color w:val="auto"/>
              </w:rPr>
            </w:pPr>
            <w:r>
              <w:rPr>
                <w:rFonts w:ascii="Times New Roman" w:cs="Times New Roman" w:eastAsia="Times New Roman" w:hAnsi="Times New Roman"/>
                <w:sz w:val="2"/>
                <w:szCs w:val="2"/>
                <w:color w:val="auto"/>
                <w:w w:val="97"/>
              </w:rPr>
              <w:t> </w:t>
            </w:r>
          </w:p>
        </w:tc>
        <w:tc>
          <w:tcPr>
            <w:tcW w:w="180" w:type="dxa"/>
            <w:vAlign w:val="bottom"/>
          </w:tcPr>
          <w:p>
            <w:pPr>
              <w:jc w:val="center"/>
              <w:ind w:left="95"/>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40"/>
              <w:spacing w:after="0"/>
              <w:rPr>
                <w:sz w:val="20"/>
                <w:szCs w:val="20"/>
                <w:color w:val="auto"/>
              </w:rPr>
            </w:pPr>
            <w:r>
              <w:rPr>
                <w:rFonts w:ascii="Times New Roman" w:cs="Times New Roman" w:eastAsia="Times New Roman" w:hAnsi="Times New Roman"/>
                <w:sz w:val="2"/>
                <w:szCs w:val="2"/>
                <w:color w:val="auto"/>
                <w:w w:val="97"/>
              </w:rPr>
              <w:t> </w:t>
            </w:r>
          </w:p>
        </w:tc>
        <w:tc>
          <w:tcPr>
            <w:tcW w:w="180" w:type="dxa"/>
            <w:vAlign w:val="bottom"/>
          </w:tcPr>
          <w:p>
            <w:pPr>
              <w:ind w:left="140"/>
              <w:spacing w:after="0"/>
              <w:rPr>
                <w:sz w:val="20"/>
                <w:szCs w:val="20"/>
                <w:color w:val="auto"/>
              </w:rPr>
            </w:pPr>
            <w:r>
              <w:rPr>
                <w:rFonts w:ascii="Times New Roman" w:cs="Times New Roman" w:eastAsia="Times New Roman" w:hAnsi="Times New Roman"/>
                <w:sz w:val="2"/>
                <w:szCs w:val="2"/>
                <w:color w:val="auto"/>
                <w:w w:val="97"/>
              </w:rPr>
              <w:t>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Pr>
          <w:p>
            <w:pPr>
              <w:ind w:left="140"/>
              <w:spacing w:after="0"/>
              <w:rPr>
                <w:sz w:val="20"/>
                <w:szCs w:val="20"/>
                <w:color w:val="auto"/>
              </w:rPr>
            </w:pPr>
            <w:r>
              <w:rPr>
                <w:rFonts w:ascii="Times New Roman" w:cs="Times New Roman" w:eastAsia="Times New Roman" w:hAnsi="Times New Roman"/>
                <w:sz w:val="2"/>
                <w:szCs w:val="2"/>
                <w:color w:val="auto"/>
                <w:w w:val="97"/>
              </w:rPr>
              <w:t> </w:t>
            </w:r>
          </w:p>
        </w:tc>
        <w:tc>
          <w:tcPr>
            <w:tcW w:w="180" w:type="dxa"/>
            <w:vAlign w:val="bottom"/>
          </w:tcPr>
          <w:p>
            <w:pPr>
              <w:ind w:left="140"/>
              <w:spacing w:after="0"/>
              <w:rPr>
                <w:sz w:val="20"/>
                <w:szCs w:val="20"/>
                <w:color w:val="auto"/>
              </w:rPr>
            </w:pPr>
            <w:r>
              <w:rPr>
                <w:rFonts w:ascii="Times New Roman" w:cs="Times New Roman" w:eastAsia="Times New Roman" w:hAnsi="Times New Roman"/>
                <w:sz w:val="2"/>
                <w:szCs w:val="2"/>
                <w:color w:val="auto"/>
                <w:w w:val="97"/>
              </w:rPr>
              <w:t>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Pr>
          <w:p>
            <w:pPr>
              <w:ind w:left="140"/>
              <w:spacing w:after="0"/>
              <w:rPr>
                <w:sz w:val="20"/>
                <w:szCs w:val="20"/>
                <w:color w:val="auto"/>
              </w:rPr>
            </w:pPr>
            <w:r>
              <w:rPr>
                <w:rFonts w:ascii="Times New Roman" w:cs="Times New Roman" w:eastAsia="Times New Roman" w:hAnsi="Times New Roman"/>
                <w:sz w:val="2"/>
                <w:szCs w:val="2"/>
                <w:color w:val="auto"/>
                <w:w w:val="97"/>
              </w:rPr>
              <w:t>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Pr>
          <w:p>
            <w:pPr>
              <w:ind w:left="140"/>
              <w:spacing w:after="0"/>
              <w:rPr>
                <w:sz w:val="20"/>
                <w:szCs w:val="20"/>
                <w:color w:val="auto"/>
              </w:rPr>
            </w:pPr>
            <w:r>
              <w:rPr>
                <w:rFonts w:ascii="Times New Roman" w:cs="Times New Roman" w:eastAsia="Times New Roman" w:hAnsi="Times New Roman"/>
                <w:sz w:val="2"/>
                <w:szCs w:val="2"/>
                <w:color w:val="auto"/>
                <w:w w:val="97"/>
              </w:rPr>
              <w:t> </w:t>
            </w:r>
          </w:p>
        </w:tc>
        <w:tc>
          <w:tcPr>
            <w:tcW w:w="180" w:type="dxa"/>
            <w:vAlign w:val="bottom"/>
          </w:tcPr>
          <w:p>
            <w:pPr>
              <w:ind w:left="140"/>
              <w:spacing w:after="0"/>
              <w:rPr>
                <w:sz w:val="20"/>
                <w:szCs w:val="20"/>
                <w:color w:val="auto"/>
              </w:rPr>
            </w:pPr>
            <w:r>
              <w:rPr>
                <w:rFonts w:ascii="Times New Roman" w:cs="Times New Roman" w:eastAsia="Times New Roman" w:hAnsi="Times New Roman"/>
                <w:sz w:val="2"/>
                <w:szCs w:val="2"/>
                <w:color w:val="auto"/>
                <w:w w:val="97"/>
              </w:rPr>
              <w:t> </w:t>
            </w:r>
          </w:p>
        </w:tc>
        <w:tc>
          <w:tcPr>
            <w:tcW w:w="180" w:type="dxa"/>
            <w:vAlign w:val="bottom"/>
          </w:tcPr>
          <w:p>
            <w:pPr>
              <w:ind w:left="140"/>
              <w:spacing w:after="0"/>
              <w:rPr>
                <w:sz w:val="20"/>
                <w:szCs w:val="20"/>
                <w:color w:val="auto"/>
              </w:rPr>
            </w:pPr>
            <w:r>
              <w:rPr>
                <w:rFonts w:ascii="Times New Roman" w:cs="Times New Roman" w:eastAsia="Times New Roman" w:hAnsi="Times New Roman"/>
                <w:sz w:val="2"/>
                <w:szCs w:val="2"/>
                <w:color w:val="auto"/>
                <w:w w:val="97"/>
              </w:rPr>
              <w:t> </w:t>
            </w:r>
          </w:p>
        </w:tc>
        <w:tc>
          <w:tcPr>
            <w:tcW w:w="180" w:type="dxa"/>
            <w:vAlign w:val="bottom"/>
          </w:tcPr>
          <w:p>
            <w:pPr>
              <w:ind w:left="140"/>
              <w:spacing w:after="0"/>
              <w:rPr>
                <w:sz w:val="20"/>
                <w:szCs w:val="20"/>
                <w:color w:val="auto"/>
              </w:rPr>
            </w:pPr>
            <w:r>
              <w:rPr>
                <w:rFonts w:ascii="Times New Roman" w:cs="Times New Roman" w:eastAsia="Times New Roman" w:hAnsi="Times New Roman"/>
                <w:sz w:val="2"/>
                <w:szCs w:val="2"/>
                <w:color w:val="auto"/>
                <w:w w:val="97"/>
              </w:rPr>
              <w:t> </w:t>
            </w:r>
          </w:p>
        </w:tc>
        <w:tc>
          <w:tcPr>
            <w:tcW w:w="180" w:type="dxa"/>
            <w:vAlign w:val="bottom"/>
          </w:tcPr>
          <w:p>
            <w:pPr>
              <w:ind w:left="140"/>
              <w:spacing w:after="0"/>
              <w:rPr>
                <w:sz w:val="20"/>
                <w:szCs w:val="20"/>
                <w:color w:val="auto"/>
              </w:rPr>
            </w:pPr>
            <w:r>
              <w:rPr>
                <w:rFonts w:ascii="Times New Roman" w:cs="Times New Roman" w:eastAsia="Times New Roman" w:hAnsi="Times New Roman"/>
                <w:sz w:val="2"/>
                <w:szCs w:val="2"/>
                <w:color w:val="auto"/>
                <w:w w:val="97"/>
              </w:rPr>
              <w:t> </w:t>
            </w:r>
          </w:p>
        </w:tc>
        <w:tc>
          <w:tcPr>
            <w:tcW w:w="120" w:type="dxa"/>
            <w:vAlign w:val="bottom"/>
          </w:tcPr>
          <w:p>
            <w:pPr>
              <w:spacing w:after="0"/>
              <w:rPr>
                <w:sz w:val="24"/>
                <w:szCs w:val="24"/>
                <w:color w:val="auto"/>
              </w:rPr>
            </w:pPr>
          </w:p>
        </w:tc>
        <w:tc>
          <w:tcPr>
            <w:tcW w:w="60" w:type="dxa"/>
            <w:vAlign w:val="bottom"/>
          </w:tcPr>
          <w:p>
            <w:pPr>
              <w:ind w:left="20"/>
              <w:spacing w:after="0"/>
              <w:rPr>
                <w:sz w:val="20"/>
                <w:szCs w:val="20"/>
                <w:color w:val="auto"/>
              </w:rPr>
            </w:pPr>
            <w:r>
              <w:rPr>
                <w:rFonts w:ascii="Times New Roman" w:cs="Times New Roman" w:eastAsia="Times New Roman" w:hAnsi="Times New Roman"/>
                <w:sz w:val="2"/>
                <w:szCs w:val="2"/>
                <w:color w:val="auto"/>
                <w:w w:val="97"/>
              </w:rPr>
              <w:t>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Pr>
          <w:p>
            <w:pPr>
              <w:ind w:left="140"/>
              <w:spacing w:after="0"/>
              <w:rPr>
                <w:sz w:val="20"/>
                <w:szCs w:val="20"/>
                <w:color w:val="auto"/>
              </w:rPr>
            </w:pPr>
            <w:r>
              <w:rPr>
                <w:rFonts w:ascii="Times New Roman" w:cs="Times New Roman" w:eastAsia="Times New Roman" w:hAnsi="Times New Roman"/>
                <w:sz w:val="2"/>
                <w:szCs w:val="2"/>
                <w:color w:val="auto"/>
                <w:w w:val="97"/>
              </w:rPr>
              <w:t> </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80" w:type="dxa"/>
            <w:vAlign w:val="bottom"/>
          </w:tcPr>
          <w:p>
            <w:pPr>
              <w:spacing w:after="0"/>
              <w:rPr>
                <w:sz w:val="24"/>
                <w:szCs w:val="24"/>
                <w:color w:val="auto"/>
              </w:rPr>
            </w:pP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w w:val="98"/>
              </w:rPr>
              <w:t> </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w w:val="70"/>
              </w:rPr>
              <w:t> </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44"/>
        </w:trPr>
        <w:tc>
          <w:tcPr>
            <w:tcW w:w="1200" w:type="dxa"/>
            <w:vAlign w:val="bottom"/>
            <w:gridSpan w:val="10"/>
          </w:tcPr>
          <w:p>
            <w:pPr>
              <w:spacing w:after="0"/>
              <w:rPr>
                <w:sz w:val="20"/>
                <w:szCs w:val="20"/>
                <w:color w:val="auto"/>
              </w:rPr>
            </w:pPr>
            <w:r>
              <w:rPr>
                <w:rFonts w:ascii="Times New Roman" w:cs="Times New Roman" w:eastAsia="Times New Roman" w:hAnsi="Times New Roman"/>
                <w:sz w:val="18"/>
                <w:szCs w:val="18"/>
                <w:color w:val="auto"/>
                <w:w w:val="88"/>
              </w:rPr>
              <w:t>Email Address: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 </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ind w:left="20"/>
              <w:spacing w:after="0"/>
              <w:rPr>
                <w:sz w:val="20"/>
                <w:szCs w:val="20"/>
                <w:color w:val="auto"/>
              </w:rPr>
            </w:pPr>
            <w:r>
              <w:rPr>
                <w:rFonts w:ascii="Times New Roman" w:cs="Times New Roman" w:eastAsia="Times New Roman" w:hAnsi="Times New Roman"/>
                <w:sz w:val="2"/>
                <w:szCs w:val="2"/>
                <w:color w:val="auto"/>
                <w:w w:val="97"/>
              </w:rPr>
              <w:t> </w:t>
            </w:r>
          </w:p>
        </w:tc>
        <w:tc>
          <w:tcPr>
            <w:tcW w:w="80" w:type="dxa"/>
            <w:vAlign w:val="bottom"/>
          </w:tcPr>
          <w:p>
            <w:pPr>
              <w:spacing w:after="0"/>
              <w:rPr>
                <w:sz w:val="24"/>
                <w:szCs w:val="24"/>
                <w:color w:val="auto"/>
              </w:rPr>
            </w:pPr>
          </w:p>
        </w:tc>
        <w:tc>
          <w:tcPr>
            <w:tcW w:w="100" w:type="dxa"/>
            <w:vAlign w:val="bottom"/>
          </w:tcPr>
          <w:p>
            <w:pPr>
              <w:ind w:left="60"/>
              <w:spacing w:after="0"/>
              <w:rPr>
                <w:sz w:val="20"/>
                <w:szCs w:val="20"/>
                <w:color w:val="auto"/>
              </w:rPr>
            </w:pPr>
            <w:r>
              <w:rPr>
                <w:rFonts w:ascii="Times New Roman" w:cs="Times New Roman" w:eastAsia="Times New Roman" w:hAnsi="Times New Roman"/>
                <w:sz w:val="2"/>
                <w:szCs w:val="2"/>
                <w:color w:val="auto"/>
                <w:w w:val="97"/>
              </w:rPr>
              <w:t> </w:t>
            </w:r>
          </w:p>
        </w:tc>
        <w:tc>
          <w:tcPr>
            <w:tcW w:w="4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 </w:t>
            </w:r>
          </w:p>
        </w:tc>
        <w:tc>
          <w:tcPr>
            <w:tcW w:w="120" w:type="dxa"/>
            <w:vAlign w:val="bottom"/>
          </w:tcPr>
          <w:p>
            <w:pPr>
              <w:spacing w:after="0"/>
              <w:rPr>
                <w:sz w:val="24"/>
                <w:szCs w:val="2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4"/>
                <w:szCs w:val="4"/>
                <w:color w:val="auto"/>
                <w:w w:val="98"/>
              </w:rPr>
              <w:t> </w:t>
            </w:r>
          </w:p>
        </w:tc>
        <w:tc>
          <w:tcPr>
            <w:tcW w:w="120" w:type="dxa"/>
            <w:vAlign w:val="bottom"/>
          </w:tcPr>
          <w:p>
            <w:pPr>
              <w:spacing w:after="0"/>
              <w:rPr>
                <w:sz w:val="24"/>
                <w:szCs w:val="24"/>
                <w:color w:val="auto"/>
              </w:rPr>
            </w:pPr>
          </w:p>
        </w:tc>
        <w:tc>
          <w:tcPr>
            <w:tcW w:w="60" w:type="dxa"/>
            <w:vAlign w:val="bottom"/>
          </w:tcPr>
          <w:p>
            <w:pPr>
              <w:ind w:left="20"/>
              <w:spacing w:after="0"/>
              <w:rPr>
                <w:sz w:val="20"/>
                <w:szCs w:val="20"/>
                <w:color w:val="auto"/>
              </w:rPr>
            </w:pPr>
            <w:r>
              <w:rPr>
                <w:rFonts w:ascii="Times New Roman" w:cs="Times New Roman" w:eastAsia="Times New Roman" w:hAnsi="Times New Roman"/>
                <w:sz w:val="2"/>
                <w:szCs w:val="2"/>
                <w:color w:val="auto"/>
                <w:w w:val="97"/>
              </w:rPr>
              <w:t> </w:t>
            </w:r>
          </w:p>
        </w:tc>
        <w:tc>
          <w:tcPr>
            <w:tcW w:w="180" w:type="dxa"/>
            <w:vAlign w:val="bottom"/>
          </w:tcPr>
          <w:p>
            <w:pPr>
              <w:ind w:left="140"/>
              <w:spacing w:after="0"/>
              <w:rPr>
                <w:sz w:val="20"/>
                <w:szCs w:val="20"/>
                <w:color w:val="auto"/>
              </w:rPr>
            </w:pPr>
            <w:r>
              <w:rPr>
                <w:rFonts w:ascii="Times New Roman" w:cs="Times New Roman" w:eastAsia="Times New Roman" w:hAnsi="Times New Roman"/>
                <w:sz w:val="2"/>
                <w:szCs w:val="2"/>
                <w:color w:val="auto"/>
                <w:w w:val="97"/>
              </w:rPr>
              <w:t> </w:t>
            </w:r>
          </w:p>
        </w:tc>
        <w:tc>
          <w:tcPr>
            <w:tcW w:w="140" w:type="dxa"/>
            <w:vAlign w:val="bottom"/>
          </w:tcPr>
          <w:p>
            <w:pPr>
              <w:spacing w:after="0"/>
              <w:rPr>
                <w:sz w:val="24"/>
                <w:szCs w:val="24"/>
                <w:color w:val="auto"/>
              </w:rPr>
            </w:pPr>
          </w:p>
        </w:tc>
        <w:tc>
          <w:tcPr>
            <w:tcW w:w="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
                <w:szCs w:val="2"/>
                <w:color w:val="auto"/>
                <w:w w:val="97"/>
              </w:rPr>
              <w:t> </w:t>
            </w:r>
          </w:p>
        </w:tc>
        <w:tc>
          <w:tcPr>
            <w:tcW w:w="18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2"/>
                <w:szCs w:val="2"/>
                <w:color w:val="auto"/>
                <w:w w:val="97"/>
              </w:rPr>
              <w:t> </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2"/>
                <w:szCs w:val="2"/>
                <w:color w:val="auto"/>
                <w:w w:val="97"/>
              </w:rPr>
              <w:t> </w:t>
            </w:r>
          </w:p>
        </w:tc>
        <w:tc>
          <w:tcPr>
            <w:tcW w:w="18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2"/>
                <w:szCs w:val="2"/>
                <w:color w:val="auto"/>
                <w:w w:val="97"/>
              </w:rPr>
              <w:t> </w:t>
            </w:r>
          </w:p>
        </w:tc>
        <w:tc>
          <w:tcPr>
            <w:tcW w:w="1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jc w:val="right"/>
              <w:ind w:right="80"/>
              <w:spacing w:after="0"/>
              <w:rPr>
                <w:sz w:val="20"/>
                <w:szCs w:val="20"/>
                <w:color w:val="auto"/>
              </w:rPr>
            </w:pPr>
            <w:r>
              <w:rPr>
                <w:rFonts w:ascii="Times New Roman" w:cs="Times New Roman" w:eastAsia="Times New Roman" w:hAnsi="Times New Roman"/>
                <w:sz w:val="2"/>
                <w:szCs w:val="2"/>
                <w:color w:val="auto"/>
                <w:w w:val="97"/>
              </w:rPr>
              <w:t> </w:t>
            </w: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 </w:t>
            </w:r>
          </w:p>
        </w:tc>
        <w:tc>
          <w:tcPr>
            <w:tcW w:w="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
                <w:szCs w:val="2"/>
                <w:color w:val="auto"/>
                <w:w w:val="97"/>
              </w:rPr>
              <w:t> </w:t>
            </w:r>
          </w:p>
        </w:tc>
        <w:tc>
          <w:tcPr>
            <w:tcW w:w="18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2"/>
                <w:szCs w:val="2"/>
                <w:color w:val="auto"/>
                <w:w w:val="97"/>
              </w:rPr>
              <w:t> </w:t>
            </w:r>
          </w:p>
        </w:tc>
        <w:tc>
          <w:tcPr>
            <w:tcW w:w="180" w:type="dxa"/>
            <w:vAlign w:val="bottom"/>
            <w:tcBorders>
              <w:top w:val="single" w:sz="8" w:color="auto"/>
            </w:tcBorders>
          </w:tcPr>
          <w:p>
            <w:pPr>
              <w:jc w:val="center"/>
              <w:ind w:left="95"/>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2"/>
                <w:szCs w:val="2"/>
                <w:color w:val="auto"/>
                <w:w w:val="97"/>
              </w:rPr>
              <w:t> </w:t>
            </w:r>
          </w:p>
        </w:tc>
        <w:tc>
          <w:tcPr>
            <w:tcW w:w="18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2"/>
                <w:szCs w:val="2"/>
                <w:color w:val="auto"/>
                <w:w w:val="97"/>
              </w:rPr>
              <w:t> </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2"/>
                <w:szCs w:val="2"/>
                <w:color w:val="auto"/>
                <w:w w:val="97"/>
              </w:rPr>
              <w:t> </w:t>
            </w:r>
          </w:p>
        </w:tc>
        <w:tc>
          <w:tcPr>
            <w:tcW w:w="18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2"/>
                <w:szCs w:val="2"/>
                <w:color w:val="auto"/>
                <w:w w:val="97"/>
              </w:rPr>
              <w:t> </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2"/>
                <w:szCs w:val="2"/>
                <w:color w:val="auto"/>
                <w:w w:val="97"/>
              </w:rPr>
              <w:t> </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2"/>
                <w:szCs w:val="2"/>
                <w:color w:val="auto"/>
                <w:w w:val="97"/>
              </w:rPr>
              <w:t> </w:t>
            </w:r>
          </w:p>
        </w:tc>
        <w:tc>
          <w:tcPr>
            <w:tcW w:w="18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2"/>
                <w:szCs w:val="2"/>
                <w:color w:val="auto"/>
                <w:w w:val="97"/>
              </w:rPr>
              <w:t> </w:t>
            </w:r>
          </w:p>
        </w:tc>
        <w:tc>
          <w:tcPr>
            <w:tcW w:w="18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2"/>
                <w:szCs w:val="2"/>
                <w:color w:val="auto"/>
                <w:w w:val="97"/>
              </w:rPr>
              <w:t> </w:t>
            </w:r>
          </w:p>
        </w:tc>
        <w:tc>
          <w:tcPr>
            <w:tcW w:w="18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2"/>
                <w:szCs w:val="2"/>
                <w:color w:val="auto"/>
                <w:w w:val="97"/>
              </w:rPr>
              <w:t> </w:t>
            </w:r>
          </w:p>
        </w:tc>
        <w:tc>
          <w:tcPr>
            <w:tcW w:w="18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2"/>
                <w:szCs w:val="2"/>
                <w:color w:val="auto"/>
                <w:w w:val="97"/>
              </w:rPr>
              <w:t> </w:t>
            </w:r>
          </w:p>
        </w:tc>
        <w:tc>
          <w:tcPr>
            <w:tcW w:w="1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0"/>
        </w:trPr>
        <w:tc>
          <w:tcPr>
            <w:tcW w:w="112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4"/>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3"/>
        </w:trPr>
        <w:tc>
          <w:tcPr>
            <w:tcW w:w="15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Tax Identification or</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94"/>
        </w:trPr>
        <w:tc>
          <w:tcPr>
            <w:tcW w:w="1560" w:type="dxa"/>
            <w:vAlign w:val="bottom"/>
            <w:gridSpan w:val="14"/>
          </w:tcPr>
          <w:p>
            <w:pPr>
              <w:spacing w:after="0" w:line="194" w:lineRule="exact"/>
              <w:rPr>
                <w:sz w:val="20"/>
                <w:szCs w:val="20"/>
                <w:color w:val="auto"/>
              </w:rPr>
            </w:pPr>
            <w:r>
              <w:rPr>
                <w:rFonts w:ascii="Times New Roman" w:cs="Times New Roman" w:eastAsia="Times New Roman" w:hAnsi="Times New Roman"/>
                <w:sz w:val="18"/>
                <w:szCs w:val="18"/>
                <w:color w:val="auto"/>
                <w:w w:val="91"/>
              </w:rPr>
              <w:t>Social Security No.:  </w:t>
            </w:r>
          </w:p>
        </w:tc>
        <w:tc>
          <w:tcPr>
            <w:tcW w:w="80" w:type="dxa"/>
            <w:vAlign w:val="bottom"/>
          </w:tcPr>
          <w:p>
            <w:pPr>
              <w:spacing w:after="0"/>
              <w:rPr>
                <w:sz w:val="16"/>
                <w:szCs w:val="16"/>
                <w:color w:val="auto"/>
              </w:rPr>
            </w:pP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w w:val="98"/>
              </w:rPr>
              <w:t> </w:t>
            </w:r>
          </w:p>
        </w:tc>
        <w:tc>
          <w:tcPr>
            <w:tcW w:w="4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gridSpan w:val="2"/>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gridSpan w:val="2"/>
          </w:tcPr>
          <w:p>
            <w:pPr>
              <w:jc w:val="right"/>
              <w:ind w:right="9"/>
              <w:spacing w:after="0" w:line="194" w:lineRule="exact"/>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w w:val="77"/>
              </w:rPr>
              <w:t> </w:t>
            </w:r>
          </w:p>
        </w:tc>
        <w:tc>
          <w:tcPr>
            <w:tcW w:w="2340" w:type="dxa"/>
            <w:vAlign w:val="bottom"/>
            <w:gridSpan w:val="14"/>
          </w:tcPr>
          <w:p>
            <w:pPr>
              <w:jc w:val="center"/>
              <w:ind w:left="42"/>
              <w:spacing w:after="0" w:line="194" w:lineRule="exact"/>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gridSpan w:val="2"/>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2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538"/>
        </w:trPr>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3060" w:type="dxa"/>
            <w:vAlign w:val="bottom"/>
            <w:tcBorders>
              <w:top w:val="single" w:sz="8" w:color="auto"/>
            </w:tcBorders>
            <w:gridSpan w:val="18"/>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rPr>
              <w:t>GUARANTEE OF SIGNATURE(S)</w:t>
            </w: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60" w:type="dxa"/>
            <w:vAlign w:val="bottom"/>
            <w:gridSpan w:val="18"/>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(For use by Eligible Institutions only;</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80" w:type="dxa"/>
            <w:vAlign w:val="bottom"/>
            <w:gridSpan w:val="12"/>
          </w:tcPr>
          <w:p>
            <w:pPr>
              <w:ind w:left="80"/>
              <w:spacing w:after="0"/>
              <w:rPr>
                <w:sz w:val="20"/>
                <w:szCs w:val="20"/>
                <w:color w:val="auto"/>
              </w:rPr>
            </w:pPr>
            <w:r>
              <w:rPr>
                <w:rFonts w:ascii="Times New Roman" w:cs="Times New Roman" w:eastAsia="Times New Roman" w:hAnsi="Times New Roman"/>
                <w:sz w:val="18"/>
                <w:szCs w:val="18"/>
                <w:b w:val="1"/>
                <w:bCs w:val="1"/>
                <w:color w:val="auto"/>
              </w:rPr>
              <w:t>see Instructions 1 and 5)</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10"/>
        </w:trPr>
        <w:tc>
          <w:tcPr>
            <w:tcW w:w="1200" w:type="dxa"/>
            <w:vAlign w:val="bottom"/>
            <w:gridSpan w:val="10"/>
          </w:tcPr>
          <w:p>
            <w:pPr>
              <w:spacing w:after="0"/>
              <w:rPr>
                <w:sz w:val="20"/>
                <w:szCs w:val="20"/>
                <w:color w:val="auto"/>
              </w:rPr>
            </w:pPr>
            <w:r>
              <w:rPr>
                <w:rFonts w:ascii="Times New Roman" w:cs="Times New Roman" w:eastAsia="Times New Roman" w:hAnsi="Times New Roman"/>
                <w:sz w:val="18"/>
                <w:szCs w:val="18"/>
                <w:color w:val="auto"/>
                <w:w w:val="91"/>
              </w:rPr>
              <w:t>Name of Firm:  </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 </w:t>
            </w:r>
          </w:p>
        </w:tc>
        <w:tc>
          <w:tcPr>
            <w:tcW w:w="80" w:type="dxa"/>
            <w:vAlign w:val="bottom"/>
          </w:tcPr>
          <w:p>
            <w:pPr>
              <w:spacing w:after="0"/>
              <w:rPr>
                <w:sz w:val="24"/>
                <w:szCs w:val="24"/>
                <w:color w:val="auto"/>
              </w:rPr>
            </w:pPr>
          </w:p>
        </w:tc>
        <w:tc>
          <w:tcPr>
            <w:tcW w:w="100" w:type="dxa"/>
            <w:vAlign w:val="bottom"/>
            <w:gridSpan w:val="2"/>
          </w:tcPr>
          <w:p>
            <w:pPr>
              <w:spacing w:after="0"/>
              <w:rPr>
                <w:sz w:val="20"/>
                <w:szCs w:val="20"/>
                <w:color w:val="auto"/>
              </w:rPr>
            </w:pPr>
            <w:r>
              <w:rPr>
                <w:rFonts w:ascii="Times New Roman" w:cs="Times New Roman" w:eastAsia="Times New Roman" w:hAnsi="Times New Roman"/>
                <w:sz w:val="11"/>
                <w:szCs w:val="11"/>
                <w:color w:val="auto"/>
                <w:w w:val="72"/>
              </w:rPr>
              <w:t> </w:t>
            </w:r>
          </w:p>
        </w:tc>
        <w:tc>
          <w:tcPr>
            <w:tcW w:w="8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4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gridSpan w:val="2"/>
          </w:tcPr>
          <w:p>
            <w:pPr>
              <w:jc w:val="right"/>
              <w:ind w:right="18"/>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Pr>
          <w:p>
            <w:pPr>
              <w:ind w:left="8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40" w:type="dxa"/>
            <w:vAlign w:val="bottom"/>
          </w:tcPr>
          <w:p>
            <w:pPr>
              <w:spacing w:after="0"/>
              <w:rPr>
                <w:sz w:val="24"/>
                <w:szCs w:val="24"/>
                <w:color w:val="auto"/>
              </w:rPr>
            </w:pP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99"/>
              </w:rPr>
              <w:t> </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
        </w:trPr>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3"/>
            <w:shd w:val="clear" w:color="auto" w:fill="000000"/>
          </w:tcPr>
          <w:p>
            <w:pPr>
              <w:spacing w:after="0" w:line="20" w:lineRule="exact"/>
              <w:rPr>
                <w:sz w:val="1"/>
                <w:szCs w:val="1"/>
                <w:color w:val="auto"/>
              </w:rPr>
            </w:pPr>
          </w:p>
        </w:tc>
        <w:tc>
          <w:tcPr>
            <w:tcW w:w="180" w:type="dxa"/>
            <w:vAlign w:val="bottom"/>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1120" w:type="dxa"/>
            <w:vAlign w:val="bottom"/>
            <w:gridSpan w:val="7"/>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gridSpan w:val="3"/>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31"/>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 </w:t>
            </w:r>
          </w:p>
        </w:tc>
        <w:tc>
          <w:tcPr>
            <w:tcW w:w="160" w:type="dxa"/>
            <w:vAlign w:val="bottom"/>
          </w:tcPr>
          <w:p>
            <w:pPr>
              <w:jc w:val="right"/>
              <w:ind w:right="109"/>
              <w:spacing w:after="0"/>
              <w:rPr>
                <w:sz w:val="20"/>
                <w:szCs w:val="20"/>
                <w:color w:val="auto"/>
              </w:rPr>
            </w:pPr>
            <w:r>
              <w:rPr>
                <w:rFonts w:ascii="Times New Roman" w:cs="Times New Roman" w:eastAsia="Times New Roman" w:hAnsi="Times New Roman"/>
                <w:sz w:val="2"/>
                <w:szCs w:val="2"/>
                <w:color w:val="auto"/>
                <w:w w:val="97"/>
              </w:rPr>
              <w:t> </w:t>
            </w:r>
          </w:p>
        </w:tc>
        <w:tc>
          <w:tcPr>
            <w:tcW w:w="16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70"/>
              </w:rPr>
              <w:t> </w:t>
            </w:r>
          </w:p>
        </w:tc>
        <w:tc>
          <w:tcPr>
            <w:tcW w:w="20" w:type="dxa"/>
            <w:vAlign w:val="bottom"/>
          </w:tcPr>
          <w:p>
            <w:pPr>
              <w:spacing w:after="0"/>
              <w:rPr>
                <w:sz w:val="24"/>
                <w:szCs w:val="24"/>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400" w:type="dxa"/>
            <w:vAlign w:val="bottom"/>
            <w:gridSpan w:val="4"/>
          </w:tcPr>
          <w:p>
            <w:pPr>
              <w:jc w:val="right"/>
              <w:ind w:right="25"/>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40" w:type="dxa"/>
            <w:vAlign w:val="bottom"/>
          </w:tcPr>
          <w:p>
            <w:pPr>
              <w:spacing w:after="0"/>
              <w:rPr>
                <w:sz w:val="24"/>
                <w:szCs w:val="24"/>
                <w:color w:val="auto"/>
              </w:rPr>
            </w:pPr>
          </w:p>
        </w:tc>
        <w:tc>
          <w:tcPr>
            <w:tcW w:w="140" w:type="dxa"/>
            <w:vAlign w:val="bottom"/>
          </w:tcPr>
          <w:p>
            <w:pPr>
              <w:jc w:val="right"/>
              <w:ind w:right="38"/>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gridSpan w:val="2"/>
          </w:tcPr>
          <w:p>
            <w:pPr>
              <w:jc w:val="right"/>
              <w:ind w:right="58"/>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3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w:t>
            </w:r>
          </w:p>
        </w:tc>
        <w:tc>
          <w:tcPr>
            <w:tcW w:w="1120" w:type="dxa"/>
            <w:vAlign w:val="bottom"/>
            <w:gridSpan w:val="7"/>
          </w:tcPr>
          <w:p>
            <w:pPr>
              <w:jc w:val="right"/>
              <w:ind w:right="7"/>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360" w:type="dxa"/>
            <w:vAlign w:val="bottom"/>
            <w:gridSpan w:val="2"/>
          </w:tcPr>
          <w:p>
            <w:pPr>
              <w:jc w:val="right"/>
              <w:ind w:right="14"/>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jc w:val="right"/>
              <w:ind w:right="13"/>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360" w:type="dxa"/>
            <w:vAlign w:val="bottom"/>
            <w:gridSpan w:val="3"/>
          </w:tcPr>
          <w:p>
            <w:pPr>
              <w:jc w:val="right"/>
              <w:ind w:right="17"/>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00" w:type="dxa"/>
            <w:vAlign w:val="bottom"/>
          </w:tcPr>
          <w:p>
            <w:pPr>
              <w:jc w:val="right"/>
              <w:ind w:right="3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jc w:val="right"/>
              <w:ind w:right="43"/>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85"/>
        </w:trPr>
        <w:tc>
          <w:tcPr>
            <w:tcW w:w="10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620" w:type="dxa"/>
            <w:vAlign w:val="bottom"/>
            <w:tcBorders>
              <w:top w:val="single" w:sz="8" w:color="auto"/>
            </w:tcBorders>
            <w:gridSpan w:val="10"/>
          </w:tcPr>
          <w:p>
            <w:pPr>
              <w:jc w:val="center"/>
              <w:ind w:left="17"/>
              <w:spacing w:after="0"/>
              <w:rPr>
                <w:sz w:val="20"/>
                <w:szCs w:val="20"/>
                <w:color w:val="auto"/>
              </w:rPr>
            </w:pPr>
            <w:r>
              <w:rPr>
                <w:rFonts w:ascii="Times New Roman" w:cs="Times New Roman" w:eastAsia="Times New Roman" w:hAnsi="Times New Roman"/>
                <w:sz w:val="18"/>
                <w:szCs w:val="18"/>
                <w:b w:val="1"/>
                <w:bCs w:val="1"/>
                <w:color w:val="auto"/>
                <w:w w:val="99"/>
              </w:rPr>
              <w:t>(Include Zip Code)</w:t>
            </w: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24"/>
        </w:trPr>
        <w:tc>
          <w:tcPr>
            <w:tcW w:w="1740" w:type="dxa"/>
            <w:vAlign w:val="bottom"/>
            <w:gridSpan w:val="16"/>
          </w:tcPr>
          <w:p>
            <w:pPr>
              <w:spacing w:after="0"/>
              <w:rPr>
                <w:sz w:val="20"/>
                <w:szCs w:val="20"/>
                <w:color w:val="auto"/>
              </w:rPr>
            </w:pPr>
            <w:r>
              <w:rPr>
                <w:rFonts w:ascii="Times New Roman" w:cs="Times New Roman" w:eastAsia="Times New Roman" w:hAnsi="Times New Roman"/>
                <w:sz w:val="18"/>
                <w:szCs w:val="18"/>
                <w:color w:val="auto"/>
                <w:w w:val="94"/>
              </w:rPr>
              <w:t>Authorized Signature:  </w:t>
            </w:r>
          </w:p>
        </w:tc>
        <w:tc>
          <w:tcPr>
            <w:tcW w:w="40" w:type="dxa"/>
            <w:vAlign w:val="bottom"/>
          </w:tcPr>
          <w:p>
            <w:pPr>
              <w:spacing w:after="0"/>
              <w:rPr>
                <w:sz w:val="24"/>
                <w:szCs w:val="24"/>
                <w:color w:val="auto"/>
              </w:rPr>
            </w:pPr>
          </w:p>
        </w:tc>
        <w:tc>
          <w:tcPr>
            <w:tcW w:w="14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gridSpan w:val="2"/>
          </w:tcPr>
          <w:p>
            <w:pPr>
              <w:jc w:val="right"/>
              <w:ind w:right="38"/>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Pr>
          <w:p>
            <w:pPr>
              <w:ind w:left="8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40" w:type="dxa"/>
            <w:vAlign w:val="bottom"/>
          </w:tcPr>
          <w:p>
            <w:pPr>
              <w:spacing w:after="0"/>
              <w:rPr>
                <w:sz w:val="24"/>
                <w:szCs w:val="24"/>
                <w:color w:val="auto"/>
              </w:rPr>
            </w:pP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
        </w:trPr>
        <w:tc>
          <w:tcPr>
            <w:tcW w:w="68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20" w:type="dxa"/>
            <w:vAlign w:val="bottom"/>
            <w:gridSpan w:val="7"/>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31"/>
        </w:trPr>
        <w:tc>
          <w:tcPr>
            <w:tcW w:w="68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3"/>
              </w:rPr>
              <w:t>Name:  </w:t>
            </w: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jc w:val="right"/>
              <w:ind w:right="45"/>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40" w:type="dxa"/>
            <w:vAlign w:val="bottom"/>
          </w:tcPr>
          <w:p>
            <w:pPr>
              <w:spacing w:after="0"/>
              <w:rPr>
                <w:sz w:val="24"/>
                <w:szCs w:val="24"/>
                <w:color w:val="auto"/>
              </w:rPr>
            </w:pPr>
          </w:p>
        </w:tc>
        <w:tc>
          <w:tcPr>
            <w:tcW w:w="140" w:type="dxa"/>
            <w:vAlign w:val="bottom"/>
          </w:tcPr>
          <w:p>
            <w:pPr>
              <w:jc w:val="right"/>
              <w:ind w:right="58"/>
              <w:spacing w:after="0"/>
              <w:rPr>
                <w:sz w:val="20"/>
                <w:szCs w:val="20"/>
                <w:color w:val="auto"/>
              </w:rPr>
            </w:pPr>
            <w:r>
              <w:rPr>
                <w:rFonts w:ascii="Times New Roman" w:cs="Times New Roman" w:eastAsia="Times New Roman" w:hAnsi="Times New Roman"/>
                <w:sz w:val="2"/>
                <w:szCs w:val="2"/>
                <w:color w:val="auto"/>
                <w:w w:val="97"/>
              </w:rPr>
              <w:t> </w:t>
            </w:r>
          </w:p>
        </w:tc>
        <w:tc>
          <w:tcPr>
            <w:tcW w:w="180" w:type="dxa"/>
            <w:vAlign w:val="bottom"/>
            <w:gridSpan w:val="2"/>
          </w:tcPr>
          <w:p>
            <w:pPr>
              <w:jc w:val="right"/>
              <w:ind w:right="78"/>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76"/>
              </w:rPr>
              <w:t> </w:t>
            </w:r>
          </w:p>
        </w:tc>
        <w:tc>
          <w:tcPr>
            <w:tcW w:w="1120" w:type="dxa"/>
            <w:vAlign w:val="bottom"/>
            <w:gridSpan w:val="7"/>
          </w:tcPr>
          <w:p>
            <w:pPr>
              <w:jc w:val="center"/>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jc w:val="right"/>
              <w:ind w:right="34"/>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jc w:val="right"/>
              <w:ind w:right="33"/>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200" w:type="dxa"/>
            <w:vAlign w:val="bottom"/>
          </w:tcPr>
          <w:p>
            <w:pPr>
              <w:jc w:val="right"/>
              <w:ind w:right="5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jc w:val="right"/>
              <w:ind w:right="63"/>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85"/>
        </w:trPr>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0" w:type="dxa"/>
            <w:vAlign w:val="bottom"/>
            <w:tcBorders>
              <w:top w:val="single" w:sz="8" w:color="auto"/>
            </w:tcBorders>
            <w:gridSpan w:val="11"/>
          </w:tcPr>
          <w:p>
            <w:pPr>
              <w:jc w:val="center"/>
              <w:ind w:right="62"/>
              <w:spacing w:after="0"/>
              <w:rPr>
                <w:sz w:val="20"/>
                <w:szCs w:val="20"/>
                <w:color w:val="auto"/>
              </w:rPr>
            </w:pPr>
            <w:r>
              <w:rPr>
                <w:rFonts w:ascii="Times New Roman" w:cs="Times New Roman" w:eastAsia="Times New Roman" w:hAnsi="Times New Roman"/>
                <w:sz w:val="18"/>
                <w:szCs w:val="18"/>
                <w:b w:val="1"/>
                <w:bCs w:val="1"/>
                <w:color w:val="auto"/>
                <w:w w:val="99"/>
              </w:rPr>
              <w:t>(Please Type or Print)</w:t>
            </w: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24"/>
        </w:trPr>
        <w:tc>
          <w:tcPr>
            <w:tcW w:w="2640" w:type="dxa"/>
            <w:vAlign w:val="bottom"/>
            <w:gridSpan w:val="25"/>
          </w:tcPr>
          <w:p>
            <w:pPr>
              <w:spacing w:after="0"/>
              <w:rPr>
                <w:sz w:val="20"/>
                <w:szCs w:val="20"/>
                <w:color w:val="auto"/>
              </w:rPr>
            </w:pPr>
            <w:r>
              <w:rPr>
                <w:rFonts w:ascii="Times New Roman" w:cs="Times New Roman" w:eastAsia="Times New Roman" w:hAnsi="Times New Roman"/>
                <w:sz w:val="18"/>
                <w:szCs w:val="18"/>
                <w:color w:val="auto"/>
                <w:w w:val="93"/>
              </w:rPr>
              <w:t>Area Code and Telephone Number:  </w:t>
            </w:r>
          </w:p>
        </w:tc>
        <w:tc>
          <w:tcPr>
            <w:tcW w:w="180" w:type="dxa"/>
            <w:vAlign w:val="bottom"/>
          </w:tcPr>
          <w:p>
            <w:pPr>
              <w:ind w:left="140"/>
              <w:spacing w:after="0"/>
              <w:rPr>
                <w:sz w:val="20"/>
                <w:szCs w:val="20"/>
                <w:color w:val="auto"/>
              </w:rPr>
            </w:pPr>
            <w:r>
              <w:rPr>
                <w:rFonts w:ascii="Times New Roman" w:cs="Times New Roman" w:eastAsia="Times New Roman" w:hAnsi="Times New Roman"/>
                <w:sz w:val="2"/>
                <w:szCs w:val="2"/>
                <w:color w:val="auto"/>
                <w:w w:val="97"/>
              </w:rPr>
              <w:t>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Pr>
          <w:p>
            <w:pPr>
              <w:ind w:left="140"/>
              <w:spacing w:after="0"/>
              <w:rPr>
                <w:sz w:val="20"/>
                <w:szCs w:val="20"/>
                <w:color w:val="auto"/>
              </w:rPr>
            </w:pPr>
            <w:r>
              <w:rPr>
                <w:rFonts w:ascii="Times New Roman" w:cs="Times New Roman" w:eastAsia="Times New Roman" w:hAnsi="Times New Roman"/>
                <w:sz w:val="2"/>
                <w:szCs w:val="2"/>
                <w:color w:val="auto"/>
                <w:w w:val="97"/>
              </w:rPr>
              <w:t> </w:t>
            </w:r>
          </w:p>
        </w:tc>
        <w:tc>
          <w:tcPr>
            <w:tcW w:w="180" w:type="dxa"/>
            <w:vAlign w:val="bottom"/>
          </w:tcPr>
          <w:p>
            <w:pPr>
              <w:ind w:left="140"/>
              <w:spacing w:after="0"/>
              <w:rPr>
                <w:sz w:val="20"/>
                <w:szCs w:val="20"/>
                <w:color w:val="auto"/>
              </w:rPr>
            </w:pPr>
            <w:r>
              <w:rPr>
                <w:rFonts w:ascii="Times New Roman" w:cs="Times New Roman" w:eastAsia="Times New Roman" w:hAnsi="Times New Roman"/>
                <w:sz w:val="2"/>
                <w:szCs w:val="2"/>
                <w:color w:val="auto"/>
                <w:w w:val="97"/>
              </w:rPr>
              <w:t> </w:t>
            </w:r>
          </w:p>
        </w:tc>
        <w:tc>
          <w:tcPr>
            <w:tcW w:w="140" w:type="dxa"/>
            <w:vAlign w:val="bottom"/>
          </w:tcPr>
          <w:p>
            <w:pPr>
              <w:spacing w:after="0"/>
              <w:rPr>
                <w:sz w:val="24"/>
                <w:szCs w:val="24"/>
                <w:color w:val="auto"/>
              </w:rPr>
            </w:pPr>
          </w:p>
        </w:tc>
        <w:tc>
          <w:tcPr>
            <w:tcW w:w="180" w:type="dxa"/>
            <w:vAlign w:val="bottom"/>
          </w:tcPr>
          <w:p>
            <w:pPr>
              <w:jc w:val="right"/>
              <w:ind w:right="80"/>
              <w:spacing w:after="0"/>
              <w:rPr>
                <w:sz w:val="20"/>
                <w:szCs w:val="20"/>
                <w:color w:val="auto"/>
              </w:rPr>
            </w:pPr>
            <w:r>
              <w:rPr>
                <w:rFonts w:ascii="Times New Roman" w:cs="Times New Roman" w:eastAsia="Times New Roman" w:hAnsi="Times New Roman"/>
                <w:sz w:val="2"/>
                <w:szCs w:val="2"/>
                <w:color w:val="auto"/>
                <w:w w:val="97"/>
              </w:rPr>
              <w:t> </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 </w:t>
            </w:r>
          </w:p>
        </w:tc>
        <w:tc>
          <w:tcPr>
            <w:tcW w:w="40" w:type="dxa"/>
            <w:vAlign w:val="bottom"/>
          </w:tcPr>
          <w:p>
            <w:pPr>
              <w:spacing w:after="0"/>
              <w:rPr>
                <w:sz w:val="20"/>
                <w:szCs w:val="20"/>
                <w:color w:val="auto"/>
              </w:rPr>
            </w:pPr>
            <w:r>
              <w:rPr>
                <w:rFonts w:ascii="Times New Roman" w:cs="Times New Roman" w:eastAsia="Times New Roman" w:hAnsi="Times New Roman"/>
                <w:sz w:val="2"/>
                <w:szCs w:val="2"/>
                <w:color w:val="auto"/>
                <w:w w:val="97"/>
              </w:rPr>
              <w:t> </w:t>
            </w:r>
          </w:p>
        </w:tc>
        <w:tc>
          <w:tcPr>
            <w:tcW w:w="180" w:type="dxa"/>
            <w:vAlign w:val="bottom"/>
          </w:tcPr>
          <w:p>
            <w:pPr>
              <w:ind w:left="140"/>
              <w:spacing w:after="0"/>
              <w:rPr>
                <w:sz w:val="20"/>
                <w:szCs w:val="20"/>
                <w:color w:val="auto"/>
              </w:rPr>
            </w:pPr>
            <w:r>
              <w:rPr>
                <w:rFonts w:ascii="Times New Roman" w:cs="Times New Roman" w:eastAsia="Times New Roman" w:hAnsi="Times New Roman"/>
                <w:sz w:val="2"/>
                <w:szCs w:val="2"/>
                <w:color w:val="auto"/>
                <w:w w:val="97"/>
              </w:rPr>
              <w:t> </w:t>
            </w:r>
          </w:p>
        </w:tc>
        <w:tc>
          <w:tcPr>
            <w:tcW w:w="180" w:type="dxa"/>
            <w:vAlign w:val="bottom"/>
          </w:tcPr>
          <w:p>
            <w:pPr>
              <w:jc w:val="center"/>
              <w:ind w:left="95"/>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40"/>
              <w:spacing w:after="0"/>
              <w:rPr>
                <w:sz w:val="20"/>
                <w:szCs w:val="20"/>
                <w:color w:val="auto"/>
              </w:rPr>
            </w:pPr>
            <w:r>
              <w:rPr>
                <w:rFonts w:ascii="Times New Roman" w:cs="Times New Roman" w:eastAsia="Times New Roman" w:hAnsi="Times New Roman"/>
                <w:sz w:val="2"/>
                <w:szCs w:val="2"/>
                <w:color w:val="auto"/>
                <w:w w:val="97"/>
              </w:rPr>
              <w:t> </w:t>
            </w:r>
          </w:p>
        </w:tc>
        <w:tc>
          <w:tcPr>
            <w:tcW w:w="180" w:type="dxa"/>
            <w:vAlign w:val="bottom"/>
          </w:tcPr>
          <w:p>
            <w:pPr>
              <w:ind w:left="140"/>
              <w:spacing w:after="0"/>
              <w:rPr>
                <w:sz w:val="20"/>
                <w:szCs w:val="20"/>
                <w:color w:val="auto"/>
              </w:rPr>
            </w:pPr>
            <w:r>
              <w:rPr>
                <w:rFonts w:ascii="Times New Roman" w:cs="Times New Roman" w:eastAsia="Times New Roman" w:hAnsi="Times New Roman"/>
                <w:sz w:val="2"/>
                <w:szCs w:val="2"/>
                <w:color w:val="auto"/>
                <w:w w:val="97"/>
              </w:rPr>
              <w:t>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Pr>
          <w:p>
            <w:pPr>
              <w:ind w:left="140"/>
              <w:spacing w:after="0"/>
              <w:rPr>
                <w:sz w:val="20"/>
                <w:szCs w:val="20"/>
                <w:color w:val="auto"/>
              </w:rPr>
            </w:pPr>
            <w:r>
              <w:rPr>
                <w:rFonts w:ascii="Times New Roman" w:cs="Times New Roman" w:eastAsia="Times New Roman" w:hAnsi="Times New Roman"/>
                <w:sz w:val="2"/>
                <w:szCs w:val="2"/>
                <w:color w:val="auto"/>
                <w:w w:val="97"/>
              </w:rPr>
              <w:t> </w:t>
            </w:r>
          </w:p>
        </w:tc>
        <w:tc>
          <w:tcPr>
            <w:tcW w:w="180" w:type="dxa"/>
            <w:vAlign w:val="bottom"/>
          </w:tcPr>
          <w:p>
            <w:pPr>
              <w:ind w:left="140"/>
              <w:spacing w:after="0"/>
              <w:rPr>
                <w:sz w:val="20"/>
                <w:szCs w:val="20"/>
                <w:color w:val="auto"/>
              </w:rPr>
            </w:pPr>
            <w:r>
              <w:rPr>
                <w:rFonts w:ascii="Times New Roman" w:cs="Times New Roman" w:eastAsia="Times New Roman" w:hAnsi="Times New Roman"/>
                <w:sz w:val="2"/>
                <w:szCs w:val="2"/>
                <w:color w:val="auto"/>
                <w:w w:val="97"/>
              </w:rPr>
              <w:t>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Pr>
          <w:p>
            <w:pPr>
              <w:ind w:left="140"/>
              <w:spacing w:after="0"/>
              <w:rPr>
                <w:sz w:val="20"/>
                <w:szCs w:val="20"/>
                <w:color w:val="auto"/>
              </w:rPr>
            </w:pPr>
            <w:r>
              <w:rPr>
                <w:rFonts w:ascii="Times New Roman" w:cs="Times New Roman" w:eastAsia="Times New Roman" w:hAnsi="Times New Roman"/>
                <w:sz w:val="2"/>
                <w:szCs w:val="2"/>
                <w:color w:val="auto"/>
                <w:w w:val="97"/>
              </w:rPr>
              <w:t>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Pr>
          <w:p>
            <w:pPr>
              <w:ind w:left="140"/>
              <w:spacing w:after="0"/>
              <w:rPr>
                <w:sz w:val="20"/>
                <w:szCs w:val="20"/>
                <w:color w:val="auto"/>
              </w:rPr>
            </w:pPr>
            <w:r>
              <w:rPr>
                <w:rFonts w:ascii="Times New Roman" w:cs="Times New Roman" w:eastAsia="Times New Roman" w:hAnsi="Times New Roman"/>
                <w:sz w:val="2"/>
                <w:szCs w:val="2"/>
                <w:color w:val="auto"/>
                <w:w w:val="97"/>
              </w:rPr>
              <w:t> </w:t>
            </w:r>
          </w:p>
        </w:tc>
        <w:tc>
          <w:tcPr>
            <w:tcW w:w="180" w:type="dxa"/>
            <w:vAlign w:val="bottom"/>
          </w:tcPr>
          <w:p>
            <w:pPr>
              <w:ind w:left="140"/>
              <w:spacing w:after="0"/>
              <w:rPr>
                <w:sz w:val="20"/>
                <w:szCs w:val="20"/>
                <w:color w:val="auto"/>
              </w:rPr>
            </w:pPr>
            <w:r>
              <w:rPr>
                <w:rFonts w:ascii="Times New Roman" w:cs="Times New Roman" w:eastAsia="Times New Roman" w:hAnsi="Times New Roman"/>
                <w:sz w:val="2"/>
                <w:szCs w:val="2"/>
                <w:color w:val="auto"/>
                <w:w w:val="97"/>
              </w:rPr>
              <w:t> </w:t>
            </w:r>
          </w:p>
        </w:tc>
        <w:tc>
          <w:tcPr>
            <w:tcW w:w="180" w:type="dxa"/>
            <w:vAlign w:val="bottom"/>
          </w:tcPr>
          <w:p>
            <w:pPr>
              <w:ind w:left="140"/>
              <w:spacing w:after="0"/>
              <w:rPr>
                <w:sz w:val="20"/>
                <w:szCs w:val="20"/>
                <w:color w:val="auto"/>
              </w:rPr>
            </w:pPr>
            <w:r>
              <w:rPr>
                <w:rFonts w:ascii="Times New Roman" w:cs="Times New Roman" w:eastAsia="Times New Roman" w:hAnsi="Times New Roman"/>
                <w:sz w:val="2"/>
                <w:szCs w:val="2"/>
                <w:color w:val="auto"/>
                <w:w w:val="97"/>
              </w:rPr>
              <w:t> </w:t>
            </w:r>
          </w:p>
        </w:tc>
        <w:tc>
          <w:tcPr>
            <w:tcW w:w="180" w:type="dxa"/>
            <w:vAlign w:val="bottom"/>
          </w:tcPr>
          <w:p>
            <w:pPr>
              <w:ind w:left="140"/>
              <w:spacing w:after="0"/>
              <w:rPr>
                <w:sz w:val="20"/>
                <w:szCs w:val="20"/>
                <w:color w:val="auto"/>
              </w:rPr>
            </w:pPr>
            <w:r>
              <w:rPr>
                <w:rFonts w:ascii="Times New Roman" w:cs="Times New Roman" w:eastAsia="Times New Roman" w:hAnsi="Times New Roman"/>
                <w:sz w:val="2"/>
                <w:szCs w:val="2"/>
                <w:color w:val="auto"/>
                <w:w w:val="97"/>
              </w:rPr>
              <w:t> </w:t>
            </w:r>
          </w:p>
        </w:tc>
        <w:tc>
          <w:tcPr>
            <w:tcW w:w="180" w:type="dxa"/>
            <w:vAlign w:val="bottom"/>
          </w:tcPr>
          <w:p>
            <w:pPr>
              <w:ind w:left="140"/>
              <w:spacing w:after="0"/>
              <w:rPr>
                <w:sz w:val="20"/>
                <w:szCs w:val="20"/>
                <w:color w:val="auto"/>
              </w:rPr>
            </w:pPr>
            <w:r>
              <w:rPr>
                <w:rFonts w:ascii="Times New Roman" w:cs="Times New Roman" w:eastAsia="Times New Roman" w:hAnsi="Times New Roman"/>
                <w:sz w:val="2"/>
                <w:szCs w:val="2"/>
                <w:color w:val="auto"/>
                <w:w w:val="97"/>
              </w:rPr>
              <w:t> </w:t>
            </w:r>
          </w:p>
        </w:tc>
        <w:tc>
          <w:tcPr>
            <w:tcW w:w="120" w:type="dxa"/>
            <w:vAlign w:val="bottom"/>
          </w:tcPr>
          <w:p>
            <w:pPr>
              <w:spacing w:after="0"/>
              <w:rPr>
                <w:sz w:val="24"/>
                <w:szCs w:val="24"/>
                <w:color w:val="auto"/>
              </w:rPr>
            </w:pPr>
          </w:p>
        </w:tc>
        <w:tc>
          <w:tcPr>
            <w:tcW w:w="60" w:type="dxa"/>
            <w:vAlign w:val="bottom"/>
          </w:tcPr>
          <w:p>
            <w:pPr>
              <w:ind w:left="20"/>
              <w:spacing w:after="0"/>
              <w:rPr>
                <w:sz w:val="20"/>
                <w:szCs w:val="20"/>
                <w:color w:val="auto"/>
              </w:rPr>
            </w:pPr>
            <w:r>
              <w:rPr>
                <w:rFonts w:ascii="Times New Roman" w:cs="Times New Roman" w:eastAsia="Times New Roman" w:hAnsi="Times New Roman"/>
                <w:sz w:val="2"/>
                <w:szCs w:val="2"/>
                <w:color w:val="auto"/>
                <w:w w:val="97"/>
              </w:rPr>
              <w:t>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Pr>
          <w:p>
            <w:pPr>
              <w:ind w:left="140"/>
              <w:spacing w:after="0"/>
              <w:rPr>
                <w:sz w:val="20"/>
                <w:szCs w:val="20"/>
                <w:color w:val="auto"/>
              </w:rPr>
            </w:pPr>
            <w:r>
              <w:rPr>
                <w:rFonts w:ascii="Times New Roman" w:cs="Times New Roman" w:eastAsia="Times New Roman" w:hAnsi="Times New Roman"/>
                <w:sz w:val="2"/>
                <w:szCs w:val="2"/>
                <w:color w:val="auto"/>
                <w:w w:val="97"/>
              </w:rPr>
              <w:t> </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80" w:type="dxa"/>
            <w:vAlign w:val="bottom"/>
          </w:tcPr>
          <w:p>
            <w:pPr>
              <w:spacing w:after="0"/>
              <w:rPr>
                <w:sz w:val="24"/>
                <w:szCs w:val="24"/>
                <w:color w:val="auto"/>
              </w:rPr>
            </w:pP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w w:val="98"/>
              </w:rPr>
              <w:t> </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w w:val="70"/>
              </w:rPr>
              <w:t> </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31"/>
        </w:trPr>
        <w:tc>
          <w:tcPr>
            <w:tcW w:w="68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3"/>
              </w:rPr>
              <w:t>Dated:  </w:t>
            </w: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jc w:val="right"/>
              <w:ind w:right="45"/>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360" w:type="dxa"/>
            <w:vAlign w:val="bottom"/>
            <w:gridSpan w:val="4"/>
          </w:tcPr>
          <w:p>
            <w:pPr>
              <w:jc w:val="right"/>
              <w:ind w:right="38"/>
              <w:spacing w:after="0"/>
              <w:rPr>
                <w:sz w:val="20"/>
                <w:szCs w:val="20"/>
                <w:color w:val="auto"/>
              </w:rPr>
            </w:pPr>
            <w:r>
              <w:rPr>
                <w:rFonts w:ascii="Times New Roman" w:cs="Times New Roman" w:eastAsia="Times New Roman" w:hAnsi="Times New Roman"/>
                <w:sz w:val="18"/>
                <w:szCs w:val="18"/>
                <w:color w:val="auto"/>
              </w:rPr>
              <w:t>, 20</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0"/>
        </w:trPr>
        <w:tc>
          <w:tcPr>
            <w:tcW w:w="1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gridSpan w:val="4"/>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gridSpan w:val="3"/>
            <w:shd w:val="clear" w:color="auto" w:fill="000000"/>
          </w:tcPr>
          <w:p>
            <w:pPr>
              <w:spacing w:after="0" w:line="20" w:lineRule="exact"/>
              <w:rPr>
                <w:sz w:val="1"/>
                <w:szCs w:val="1"/>
                <w:color w:val="auto"/>
              </w:rPr>
            </w:pPr>
          </w:p>
        </w:tc>
        <w:tc>
          <w:tcPr>
            <w:tcW w:w="220" w:type="dxa"/>
            <w:vAlign w:val="bottom"/>
            <w:gridSpan w:val="3"/>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44"/>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420" w:type="dxa"/>
            <w:vAlign w:val="bottom"/>
            <w:gridSpan w:val="2"/>
          </w:tcPr>
          <w:p>
            <w:pPr>
              <w:jc w:val="right"/>
              <w:ind w:right="109"/>
              <w:spacing w:after="0"/>
              <w:rPr>
                <w:sz w:val="20"/>
                <w:szCs w:val="20"/>
                <w:color w:val="auto"/>
              </w:rPr>
            </w:pPr>
            <w:r>
              <w:rPr>
                <w:rFonts w:ascii="Times New Roman" w:cs="Times New Roman" w:eastAsia="Times New Roman" w:hAnsi="Times New Roman"/>
                <w:sz w:val="18"/>
                <w:szCs w:val="18"/>
                <w:color w:val="auto"/>
              </w:rPr>
              <w:t xml:space="preserve">    </w:t>
            </w:r>
          </w:p>
        </w:tc>
        <w:tc>
          <w:tcPr>
            <w:tcW w:w="16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70"/>
              </w:rPr>
              <w:t> </w:t>
            </w:r>
          </w:p>
        </w:tc>
        <w:tc>
          <w:tcPr>
            <w:tcW w:w="20" w:type="dxa"/>
            <w:vAlign w:val="bottom"/>
          </w:tcPr>
          <w:p>
            <w:pPr>
              <w:spacing w:after="0"/>
              <w:rPr>
                <w:sz w:val="24"/>
                <w:szCs w:val="24"/>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8"/>
                <w:szCs w:val="8"/>
                <w:color w:val="auto"/>
                <w:w w:val="74"/>
              </w:rPr>
              <w:t> </w:t>
            </w:r>
          </w:p>
        </w:tc>
        <w:tc>
          <w:tcPr>
            <w:tcW w:w="40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jc w:val="right"/>
              <w:ind w:right="25"/>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360" w:type="dxa"/>
            <w:vAlign w:val="bottom"/>
            <w:gridSpan w:val="4"/>
          </w:tcPr>
          <w:p>
            <w:pPr>
              <w:jc w:val="right"/>
              <w:ind w:right="38"/>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gridSpan w:val="2"/>
          </w:tcPr>
          <w:p>
            <w:pPr>
              <w:jc w:val="right"/>
              <w:ind w:right="58"/>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3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jc w:val="right"/>
              <w:ind w:right="1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3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40" w:type="dxa"/>
            <w:vAlign w:val="bottom"/>
          </w:tcPr>
          <w:p>
            <w:pPr>
              <w:spacing w:after="0"/>
              <w:rPr>
                <w:sz w:val="24"/>
                <w:szCs w:val="24"/>
                <w:color w:val="auto"/>
              </w:rPr>
            </w:pP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w w:val="72"/>
              </w:rPr>
              <w:t> </w:t>
            </w:r>
          </w:p>
        </w:tc>
        <w:tc>
          <w:tcPr>
            <w:tcW w:w="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jc w:val="right"/>
              <w:ind w:right="14"/>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jc w:val="right"/>
              <w:ind w:right="13"/>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3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jc w:val="right"/>
              <w:ind w:right="17"/>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380" w:type="dxa"/>
            <w:vAlign w:val="bottom"/>
            <w:gridSpan w:val="2"/>
          </w:tcPr>
          <w:p>
            <w:pPr>
              <w:jc w:val="right"/>
              <w:ind w:right="43"/>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xml:space="preserve">    </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
        </w:trPr>
        <w:tc>
          <w:tcPr>
            <w:tcW w:w="8280" w:type="dxa"/>
            <w:vAlign w:val="bottom"/>
            <w:tcBorders>
              <w:right w:val="single" w:sz="8" w:color="auto"/>
            </w:tcBorders>
            <w:gridSpan w:val="59"/>
          </w:tcPr>
          <w:p>
            <w:pPr>
              <w:spacing w:after="0" w:line="20" w:lineRule="exact"/>
              <w:rPr>
                <w:sz w:val="1"/>
                <w:szCs w:val="1"/>
                <w:color w:val="auto"/>
              </w:rPr>
            </w:pPr>
          </w:p>
        </w:tc>
        <w:tc>
          <w:tcPr>
            <w:tcW w:w="160" w:type="dxa"/>
            <w:vAlign w:val="bottom"/>
            <w:tcBorders>
              <w:left w:val="single" w:sz="8" w:color="auto"/>
            </w:tcBorders>
            <w:gridSpan w:val="3"/>
            <w:shd w:val="clear" w:color="auto" w:fill="000000"/>
          </w:tcPr>
          <w:p>
            <w:pPr>
              <w:spacing w:after="0" w:line="20" w:lineRule="exact"/>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Place medallion guarantee in space below:</w:t>
      </w:r>
    </w:p>
    <w:p>
      <w:pPr>
        <w:spacing w:after="0" w:line="3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INSTRUCTIONS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Forming Part of the Terms and Conditions of the Offer</w:t>
      </w:r>
    </w:p>
    <w:p>
      <w:pPr>
        <w:spacing w:after="0" w:line="95" w:lineRule="exact"/>
        <w:rPr>
          <w:sz w:val="20"/>
          <w:szCs w:val="20"/>
          <w:color w:val="auto"/>
        </w:rPr>
      </w:pPr>
    </w:p>
    <w:p>
      <w:pPr>
        <w:ind w:left="300" w:right="379" w:firstLine="360"/>
        <w:spacing w:after="0" w:line="256" w:lineRule="auto"/>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b w:val="1"/>
          <w:bCs w:val="1"/>
          <w:color w:val="auto"/>
        </w:rPr>
        <w:t>Guarantee of Signatures.</w:t>
      </w:r>
      <w:r>
        <w:rPr>
          <w:rFonts w:ascii="Times New Roman" w:cs="Times New Roman" w:eastAsia="Times New Roman" w:hAnsi="Times New Roman"/>
          <w:sz w:val="18"/>
          <w:szCs w:val="18"/>
          <w:color w:val="auto"/>
        </w:rPr>
        <w:t xml:space="preserve"> Except as otherwise provided below, all signatures on this Letter of Transmittal </w:t>
      </w:r>
      <w:r>
        <w:rPr>
          <w:rFonts w:ascii="Times New Roman" w:cs="Times New Roman" w:eastAsia="Times New Roman" w:hAnsi="Times New Roman"/>
          <w:sz w:val="18"/>
          <w:szCs w:val="18"/>
          <w:b w:val="1"/>
          <w:bCs w:val="1"/>
          <w:u w:val="single" w:color="auto"/>
          <w:color w:val="auto"/>
        </w:rPr>
        <w:t>must</w:t>
      </w:r>
      <w:r>
        <w:rPr>
          <w:rFonts w:ascii="Times New Roman" w:cs="Times New Roman" w:eastAsia="Times New Roman" w:hAnsi="Times New Roman"/>
          <w:sz w:val="18"/>
          <w:szCs w:val="18"/>
          <w:b w:val="1"/>
          <w:bCs w:val="1"/>
          <w:color w:val="auto"/>
        </w:rPr>
        <w:t xml:space="preserve"> be guaranteed by a financial institution (including most commercial banks, savings and loan associations and brokerage houses) that is a member in good standing of a recognized Medallion Program approved by the Securities Transfer Association, Inc., including the Security Transfer Agents Medallion Program, the New York Stock Exchange Medallion Signature Program and the Stock Exchanges Medallion Program (each, an “Eligible Institution”). </w:t>
      </w:r>
      <w:r>
        <w:rPr>
          <w:rFonts w:ascii="Times New Roman" w:cs="Times New Roman" w:eastAsia="Times New Roman" w:hAnsi="Times New Roman"/>
          <w:sz w:val="18"/>
          <w:szCs w:val="18"/>
          <w:color w:val="auto"/>
        </w:rPr>
        <w:t>Signatures on this Letter of Transmittal need not be guaranteed (a) if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Letter of Transmittal is signed by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39" w:right="1440" w:bottom="1440" w:gutter="0" w:footer="0" w:header="0"/>
        </w:sectPr>
      </w:pPr>
    </w:p>
    <w:bookmarkStart w:id="77" w:name="page78"/>
    <w:bookmarkEnd w:id="77"/>
    <w:p>
      <w:pPr>
        <w:ind w:left="300" w:right="339"/>
        <w:spacing w:after="0" w:line="258" w:lineRule="auto"/>
        <w:rPr>
          <w:sz w:val="20"/>
          <w:szCs w:val="20"/>
          <w:color w:val="auto"/>
        </w:rPr>
      </w:pPr>
      <w:r>
        <w:rPr>
          <w:rFonts w:ascii="Times New Roman" w:cs="Times New Roman" w:eastAsia="Times New Roman" w:hAnsi="Times New Roman"/>
          <w:sz w:val="18"/>
          <w:szCs w:val="18"/>
          <w:color w:val="auto"/>
        </w:rPr>
        <w:t>the registered owner(s) (which term, for purposes of this document, includes any participant in any of DTC’s systems whose name appears on a security position listing as the owner of the Shares) of Shares tendered herewith and such registered owner has not completed the box titled “Special Payment Instructions” or the box titled “Special Delivery Instructions” on this Letter of Transmittal or (b) if such Shares are tendered for the account of an Eligible Institution. See Instruction 5.</w:t>
      </w:r>
    </w:p>
    <w:p>
      <w:pPr>
        <w:spacing w:after="0" w:line="71" w:lineRule="exact"/>
        <w:rPr>
          <w:sz w:val="20"/>
          <w:szCs w:val="20"/>
          <w:color w:val="auto"/>
        </w:rPr>
      </w:pPr>
    </w:p>
    <w:p>
      <w:pPr>
        <w:ind w:left="300" w:right="799" w:firstLine="360"/>
        <w:spacing w:after="0" w:line="286" w:lineRule="auto"/>
        <w:rPr>
          <w:sz w:val="20"/>
          <w:szCs w:val="20"/>
          <w:color w:val="auto"/>
        </w:rPr>
      </w:pPr>
      <w:r>
        <w:rPr>
          <w:rFonts w:ascii="Times New Roman" w:cs="Times New Roman" w:eastAsia="Times New Roman" w:hAnsi="Times New Roman"/>
          <w:sz w:val="18"/>
          <w:szCs w:val="18"/>
          <w:color w:val="auto"/>
        </w:rPr>
        <w:t xml:space="preserve">2.  </w:t>
      </w:r>
      <w:r>
        <w:rPr>
          <w:rFonts w:ascii="Times New Roman" w:cs="Times New Roman" w:eastAsia="Times New Roman" w:hAnsi="Times New Roman"/>
          <w:sz w:val="18"/>
          <w:szCs w:val="18"/>
          <w:b w:val="1"/>
          <w:bCs w:val="1"/>
          <w:color w:val="auto"/>
        </w:rPr>
        <w:t>Requirements of Tender</w:t>
      </w:r>
      <w:r>
        <w:rPr>
          <w:rFonts w:ascii="Times New Roman" w:cs="Times New Roman" w:eastAsia="Times New Roman" w:hAnsi="Times New Roman"/>
          <w:sz w:val="18"/>
          <w:szCs w:val="18"/>
          <w:color w:val="auto"/>
        </w:rPr>
        <w:t>. In order for Shares to be validly tendered pursuant to the Offer, one of the following procedures must be followed:</w:t>
      </w:r>
    </w:p>
    <w:p>
      <w:pPr>
        <w:spacing w:after="0" w:line="51" w:lineRule="exact"/>
        <w:rPr>
          <w:sz w:val="20"/>
          <w:szCs w:val="20"/>
          <w:color w:val="auto"/>
        </w:rPr>
      </w:pPr>
    </w:p>
    <w:p>
      <w:pPr>
        <w:ind w:left="300" w:right="379" w:firstLine="360"/>
        <w:spacing w:after="0" w:line="261" w:lineRule="auto"/>
        <w:rPr>
          <w:sz w:val="20"/>
          <w:szCs w:val="20"/>
          <w:color w:val="auto"/>
        </w:rPr>
      </w:pPr>
      <w:r>
        <w:rPr>
          <w:rFonts w:ascii="Times New Roman" w:cs="Times New Roman" w:eastAsia="Times New Roman" w:hAnsi="Times New Roman"/>
          <w:sz w:val="18"/>
          <w:szCs w:val="18"/>
          <w:color w:val="auto"/>
        </w:rPr>
        <w:t>For a record holder with certificated Shares, the following must be received by the Depositary at one of its addresses set forth in this Letter of Transmittal before the Offer expires: (a) this Letter of Transmittal, properly completed and duly executed, (b) Share Certificates evidencing such Shares, in proper form for transfer, and (c) any other documents required by this Letter of Transmittal.</w:t>
      </w:r>
    </w:p>
    <w:p>
      <w:pPr>
        <w:spacing w:after="0" w:line="72" w:lineRule="exact"/>
        <w:rPr>
          <w:sz w:val="20"/>
          <w:szCs w:val="20"/>
          <w:color w:val="auto"/>
        </w:rPr>
      </w:pPr>
    </w:p>
    <w:p>
      <w:pPr>
        <w:ind w:left="300" w:right="379" w:firstLine="360"/>
        <w:spacing w:after="0" w:line="261" w:lineRule="auto"/>
        <w:rPr>
          <w:sz w:val="20"/>
          <w:szCs w:val="20"/>
          <w:color w:val="auto"/>
        </w:rPr>
      </w:pPr>
      <w:r>
        <w:rPr>
          <w:rFonts w:ascii="Times New Roman" w:cs="Times New Roman" w:eastAsia="Times New Roman" w:hAnsi="Times New Roman"/>
          <w:sz w:val="18"/>
          <w:szCs w:val="18"/>
          <w:color w:val="auto"/>
        </w:rPr>
        <w:t>For a record holder with uncertificated Shares held in book-entry form with Pacira’s transfer agent, the following must be received by the Depositary at one of its addresses set forth in this Letter of Transmittal before the Offer expires: (a) the Letter of Transmittal, properly completed and duly executed, and (b) any other documents required by this Letter of Transmittal.</w:t>
      </w:r>
    </w:p>
    <w:p>
      <w:pPr>
        <w:spacing w:after="0" w:line="72" w:lineRule="exact"/>
        <w:rPr>
          <w:sz w:val="20"/>
          <w:szCs w:val="20"/>
          <w:color w:val="auto"/>
        </w:rPr>
      </w:pPr>
    </w:p>
    <w:p>
      <w:pPr>
        <w:ind w:left="300" w:right="379" w:firstLine="360"/>
        <w:spacing w:after="0" w:line="258" w:lineRule="auto"/>
        <w:rPr>
          <w:sz w:val="20"/>
          <w:szCs w:val="20"/>
          <w:color w:val="auto"/>
        </w:rPr>
      </w:pPr>
      <w:r>
        <w:rPr>
          <w:rFonts w:ascii="Times New Roman" w:cs="Times New Roman" w:eastAsia="Times New Roman" w:hAnsi="Times New Roman"/>
          <w:sz w:val="18"/>
          <w:szCs w:val="18"/>
          <w:color w:val="auto"/>
        </w:rPr>
        <w:t>For Shares held in “street name” and are being tendered by book-entry transfer, the following must be received by the Depositary at one of its addresses set forth in this Letter of Transmittal before the Offer expires: (a) a confirmation of a book-entry transfer of such Shares (a “Book-Entry Confirmation”), (b) this Letter of Transmittal, properly completed and duly executed, or an Agent’s Message (as defined below) and (c) any other documents required by this Letter of Transmittal.</w:t>
      </w:r>
    </w:p>
    <w:p>
      <w:pPr>
        <w:spacing w:after="0" w:line="75"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Stockholders whose Share Certificates are not immediately available, or who cannot complete the procedure delivery by book-entry transfer on a timely basis, or otherwise cannot deliver all required documents to the Depositary before the Offer expires may nevertheless tender their Shares by properly completing and duly executing a Notice of Guaranteed Delivery pursuant to the guaranteed delivery procedure set forth in Section 3 of the Offer to Purchase. Pursuant to such procedure: (a) such tender must be made by or through an Eligible Institution, (b) a properly completed and duly executed Notice of Guaranteed Delivery, substantially in the form made available by Purchaser, must be received by the Depositary at one of its addresses set forth in this Letter of Transmittal before the Offer expires and (c) Share Certificates evidencing such Shares, in proper form for transfer (or a Book-Entry Confirmation with respect to such Shares), this Letter of Transmittal, properly completed and duly executed with any required signature guarantees (or, in the case of a book-entry transfer through a Book-Entry Transfer Facility (as defined below), an Agent’s Message), and all other documents required by this Letter of Transmittal, if any, must be received by the Depositary at one of its addresses set forth in this Letter of Transmittal within one (1) trading day after the date of execution of such Notice of Guaranteed Delivery.</w:t>
      </w:r>
    </w:p>
    <w:p>
      <w:pPr>
        <w:spacing w:after="0" w:line="79" w:lineRule="exact"/>
        <w:rPr>
          <w:sz w:val="20"/>
          <w:szCs w:val="20"/>
          <w:color w:val="auto"/>
        </w:rPr>
      </w:pPr>
    </w:p>
    <w:p>
      <w:pPr>
        <w:ind w:left="300" w:right="319" w:firstLine="360"/>
        <w:spacing w:after="0" w:line="273" w:lineRule="auto"/>
        <w:rPr>
          <w:sz w:val="20"/>
          <w:szCs w:val="20"/>
          <w:color w:val="auto"/>
        </w:rPr>
      </w:pPr>
      <w:r>
        <w:rPr>
          <w:rFonts w:ascii="Times New Roman" w:cs="Times New Roman" w:eastAsia="Times New Roman" w:hAnsi="Times New Roman"/>
          <w:sz w:val="17"/>
          <w:szCs w:val="17"/>
          <w:color w:val="auto"/>
        </w:rPr>
        <w:t>The term “Agent’s Message” means a message, transmitted through electronic means by the Depositary’s account at the DTC (the “Book-Entry Transfer Facility”) to, and received by, the Depositary and forming a part of a Book-Entry Confirmation, that states that the Book-Entry Transfer Facility has received an express acknowledgment from the participant in the Book-Entry Transfer Facility tendering the Shares that are the subject of such Book-Entry Confirmation that such participant has received and agrees to be bound by the terms of this Letter of Transmittal and that Purchaser may enforce such agreement against such participant. The term “Agent’s Message” also includes any hard copy printout evidencing such message generated by a computer terminal maintained at the Depositary’s office.</w:t>
      </w:r>
    </w:p>
    <w:p>
      <w:pPr>
        <w:spacing w:after="0" w:line="59"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b w:val="1"/>
          <w:bCs w:val="1"/>
          <w:color w:val="auto"/>
        </w:rPr>
        <w:t>THE METHOD OF DELIVERY OF THIS LETTER OF TRANSMITTAL, ANY SHARE CERTIFICATES AND ALL OTHER REQUIRED DOCUMENTS, INCLUDING DELIVERY THROUGH THE BOOK-ENTRY TRANSFER FACILITY, IS AT THE OPTION AND THE RISK OF THE TENDERING STOCKHOLDER AND THE DELIVERY WILL BE DEEMED MADE ONLY WHEN ACTUALLY RECEIVED BY THE DEPOSITARY (INCLUDING, IN THE CASE OF BOOK-ENTRY TRANSFER, BY BOOK-ENTRY CONFIRMATION). IF DELIVERY IS BY MAIL, REGISTERED MAIL WITH RETURN RECEIPT REQUESTED, PROPERLY INSURED, IS RECOMMENDED. IN ALL CASES, SUFFICIENT TIME SHOULD BE ALLOWED TO ENSURE TIMELY DELIVERY.</w:t>
      </w:r>
    </w:p>
    <w:p>
      <w:pPr>
        <w:spacing w:after="0" w:line="81" w:lineRule="exact"/>
        <w:rPr>
          <w:sz w:val="20"/>
          <w:szCs w:val="20"/>
          <w:color w:val="auto"/>
        </w:rPr>
      </w:pPr>
    </w:p>
    <w:p>
      <w:pPr>
        <w:ind w:left="300" w:right="459" w:firstLine="360"/>
        <w:spacing w:after="0" w:line="266" w:lineRule="auto"/>
        <w:rPr>
          <w:sz w:val="20"/>
          <w:szCs w:val="20"/>
          <w:color w:val="auto"/>
        </w:rPr>
      </w:pPr>
      <w:r>
        <w:rPr>
          <w:rFonts w:ascii="Times New Roman" w:cs="Times New Roman" w:eastAsia="Times New Roman" w:hAnsi="Times New Roman"/>
          <w:sz w:val="18"/>
          <w:szCs w:val="18"/>
          <w:color w:val="auto"/>
        </w:rPr>
        <w:t>No alternative, conditional or contingent tenders will be accepted. All tendering stockholders, by execution of this Letter of Transmittal (or facsimile thereof), waive any right to receive any notice of the acceptance of their Shares for payment.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78" w:name="page79"/>
    <w:bookmarkEnd w:id="78"/>
    <w:p>
      <w:pPr>
        <w:ind w:left="300" w:right="379" w:firstLine="360"/>
        <w:spacing w:after="0" w:line="253" w:lineRule="auto"/>
        <w:rPr>
          <w:sz w:val="20"/>
          <w:szCs w:val="20"/>
          <w:color w:val="auto"/>
        </w:rPr>
      </w:pPr>
      <w:r>
        <w:rPr>
          <w:rFonts w:ascii="Times New Roman" w:cs="Times New Roman" w:eastAsia="Times New Roman" w:hAnsi="Times New Roman"/>
          <w:sz w:val="18"/>
          <w:szCs w:val="18"/>
          <w:color w:val="auto"/>
        </w:rPr>
        <w:t>All questions as to the validity, form, eligibility (including time of receipt) and acceptance for payment of any tender of Shares will be determined by Purchaser, in its sole discretion, which determination will be final and binding upon the tendering party. Purchaser reserves the absolute right to reject any and all tenders determined by it not to be in proper form or the acceptance for payment of which may, in the opinion of Purchaser, be unlawful. Purchaser also reserves the absolute right to waive any defect or irregularity in the tender of any Shares by any particular stockholder, whether or not similar defects or irregularities are waived in the case of other stockholders. No tender of Shares will be deemed to have been validly made until all defects and irregularities have been cured or waived to the satisfaction of Purchaser. None of Viatris, Purchaser, Pacira, the Depositary, the Information Agent or any other person will be under any duty to give notification of any defects or irregularities in tenders or incur any liability for failure to give any such notification.</w:t>
      </w:r>
    </w:p>
    <w:p>
      <w:pPr>
        <w:spacing w:after="0" w:line="82" w:lineRule="exact"/>
        <w:rPr>
          <w:sz w:val="20"/>
          <w:szCs w:val="20"/>
          <w:color w:val="auto"/>
        </w:rPr>
      </w:pPr>
    </w:p>
    <w:p>
      <w:pPr>
        <w:jc w:val="both"/>
        <w:ind w:left="300" w:right="499" w:firstLine="360"/>
        <w:spacing w:after="0" w:line="268" w:lineRule="auto"/>
        <w:rPr>
          <w:sz w:val="20"/>
          <w:szCs w:val="20"/>
          <w:color w:val="auto"/>
        </w:rPr>
      </w:pPr>
      <w:r>
        <w:rPr>
          <w:rFonts w:ascii="Times New Roman" w:cs="Times New Roman" w:eastAsia="Times New Roman" w:hAnsi="Times New Roman"/>
          <w:sz w:val="18"/>
          <w:szCs w:val="18"/>
          <w:color w:val="auto"/>
        </w:rPr>
        <w:t xml:space="preserve">3.  </w:t>
      </w:r>
      <w:r>
        <w:rPr>
          <w:rFonts w:ascii="Times New Roman" w:cs="Times New Roman" w:eastAsia="Times New Roman" w:hAnsi="Times New Roman"/>
          <w:sz w:val="18"/>
          <w:szCs w:val="18"/>
          <w:b w:val="1"/>
          <w:bCs w:val="1"/>
          <w:color w:val="auto"/>
        </w:rPr>
        <w:t>Inadequate Space.</w:t>
      </w:r>
      <w:r>
        <w:rPr>
          <w:rFonts w:ascii="Times New Roman" w:cs="Times New Roman" w:eastAsia="Times New Roman" w:hAnsi="Times New Roman"/>
          <w:sz w:val="18"/>
          <w:szCs w:val="18"/>
          <w:color w:val="auto"/>
        </w:rPr>
        <w:t xml:space="preserve"> If the space provided herein is inadequate, the certificate numbers and/or the number of Shares should be listed on a separate schedule attached hereto and separately signed on each page thereof in the same manner as this Letter of Transmittal is signed.</w:t>
      </w:r>
    </w:p>
    <w:p>
      <w:pPr>
        <w:spacing w:after="0" w:line="63" w:lineRule="exact"/>
        <w:rPr>
          <w:sz w:val="20"/>
          <w:szCs w:val="20"/>
          <w:color w:val="auto"/>
        </w:rPr>
      </w:pPr>
    </w:p>
    <w:p>
      <w:pPr>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 xml:space="preserve">4.  </w:t>
      </w:r>
      <w:r>
        <w:rPr>
          <w:rFonts w:ascii="Times New Roman" w:cs="Times New Roman" w:eastAsia="Times New Roman" w:hAnsi="Times New Roman"/>
          <w:sz w:val="18"/>
          <w:szCs w:val="18"/>
          <w:b w:val="1"/>
          <w:bCs w:val="1"/>
          <w:color w:val="auto"/>
        </w:rPr>
        <w:t>Partial Tenders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Applicable to Certificate Stockholders Only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If fewer than all the Shares evidenced by any Share Certificate delivered to the Depositary are to be tendered, fill in the number of Shares which are to be tendered in the column titled “Number of Shares Tendered” in the box titled “Description of Shares Tendered.” In such cases, new certificate(s) for the remainder of the Shares that were evidenced by the old certificate(s) but not tendered will be sent to the registered owner, unless otherwise provided in the appropriate box on this Letter of Transmittal, as soon as practicable after the Expiration Date. All Shares represented by Share Certificates delivered to the Depositary will be deemed to have been tendered unless otherwise indicated.</w:t>
      </w:r>
    </w:p>
    <w:p>
      <w:pPr>
        <w:spacing w:after="0" w:line="75" w:lineRule="exact"/>
        <w:rPr>
          <w:sz w:val="20"/>
          <w:szCs w:val="20"/>
          <w:color w:val="auto"/>
        </w:rPr>
      </w:pPr>
    </w:p>
    <w:p>
      <w:pPr>
        <w:jc w:val="both"/>
        <w:ind w:left="300" w:right="459" w:firstLine="360"/>
        <w:spacing w:after="0" w:line="268" w:lineRule="auto"/>
        <w:rPr>
          <w:sz w:val="20"/>
          <w:szCs w:val="20"/>
          <w:color w:val="auto"/>
        </w:rPr>
      </w:pPr>
      <w:r>
        <w:rPr>
          <w:rFonts w:ascii="Times New Roman" w:cs="Times New Roman" w:eastAsia="Times New Roman" w:hAnsi="Times New Roman"/>
          <w:sz w:val="18"/>
          <w:szCs w:val="18"/>
          <w:color w:val="auto"/>
        </w:rPr>
        <w:t xml:space="preserve">5.  </w:t>
      </w:r>
      <w:r>
        <w:rPr>
          <w:rFonts w:ascii="Times New Roman" w:cs="Times New Roman" w:eastAsia="Times New Roman" w:hAnsi="Times New Roman"/>
          <w:sz w:val="18"/>
          <w:szCs w:val="18"/>
          <w:b w:val="1"/>
          <w:bCs w:val="1"/>
          <w:color w:val="auto"/>
        </w:rPr>
        <w:t>Signatures on Letter of Transmittal; Stock Powers and Endorsements.</w:t>
      </w:r>
      <w:r>
        <w:rPr>
          <w:rFonts w:ascii="Times New Roman" w:cs="Times New Roman" w:eastAsia="Times New Roman" w:hAnsi="Times New Roman"/>
          <w:sz w:val="18"/>
          <w:szCs w:val="18"/>
          <w:color w:val="auto"/>
        </w:rPr>
        <w:t xml:space="preserve"> If this Letter of Transmittal is signed by the registered owner(s) of the Shares tendered hereby, the signature(s) must correspond with the name(s) as written on the face of the Share Certificate(s) without alteration or any other change whatsoever.</w:t>
      </w:r>
    </w:p>
    <w:p>
      <w:pPr>
        <w:spacing w:after="0" w:line="67" w:lineRule="exact"/>
        <w:rPr>
          <w:sz w:val="20"/>
          <w:szCs w:val="20"/>
          <w:color w:val="auto"/>
        </w:rPr>
      </w:pPr>
    </w:p>
    <w:p>
      <w:pPr>
        <w:ind w:left="300" w:right="379" w:firstLine="360"/>
        <w:spacing w:after="0" w:line="282" w:lineRule="auto"/>
        <w:rPr>
          <w:sz w:val="20"/>
          <w:szCs w:val="20"/>
          <w:color w:val="auto"/>
        </w:rPr>
      </w:pPr>
      <w:r>
        <w:rPr>
          <w:rFonts w:ascii="Times New Roman" w:cs="Times New Roman" w:eastAsia="Times New Roman" w:hAnsi="Times New Roman"/>
          <w:sz w:val="18"/>
          <w:szCs w:val="18"/>
          <w:color w:val="auto"/>
        </w:rPr>
        <w:t>If any Shares tendered hereby are owned of record by two or more joint owners, all such owners must sign this Letter of Transmittal.</w:t>
      </w:r>
    </w:p>
    <w:p>
      <w:pPr>
        <w:spacing w:after="0" w:line="54" w:lineRule="exact"/>
        <w:rPr>
          <w:sz w:val="20"/>
          <w:szCs w:val="20"/>
          <w:color w:val="auto"/>
        </w:rPr>
      </w:pPr>
    </w:p>
    <w:p>
      <w:pPr>
        <w:ind w:left="300" w:right="379" w:firstLine="360"/>
        <w:spacing w:after="0" w:line="266" w:lineRule="auto"/>
        <w:rPr>
          <w:sz w:val="20"/>
          <w:szCs w:val="20"/>
          <w:color w:val="auto"/>
        </w:rPr>
      </w:pPr>
      <w:r>
        <w:rPr>
          <w:rFonts w:ascii="Times New Roman" w:cs="Times New Roman" w:eastAsia="Times New Roman" w:hAnsi="Times New Roman"/>
          <w:sz w:val="18"/>
          <w:szCs w:val="18"/>
          <w:color w:val="auto"/>
        </w:rPr>
        <w:t>If any tendered Shares are registered in the names of different holder(s), it will be necessary to complete, sign and submit as many separate Letters of Transmittal (or facsimiles thereof) as there are different registrations of such Shares.</w:t>
      </w:r>
    </w:p>
    <w:p>
      <w:pPr>
        <w:spacing w:after="0" w:line="68" w:lineRule="exact"/>
        <w:rPr>
          <w:sz w:val="20"/>
          <w:szCs w:val="20"/>
          <w:color w:val="auto"/>
        </w:rPr>
      </w:pPr>
    </w:p>
    <w:p>
      <w:pPr>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If this Letter of Transmittal or any certificates or stock powers are signed by trustees, executors, administrators, guardians, attorneys-in-fact, agents, officers of corporations or others acting in a fiduciary or representative capacity, such persons should so indicate when signing, and proper evidence satisfactory to Purchaser of such persons’ authority so to act must be submitted.</w:t>
      </w:r>
    </w:p>
    <w:p>
      <w:pPr>
        <w:spacing w:after="0" w:line="72" w:lineRule="exact"/>
        <w:rPr>
          <w:sz w:val="20"/>
          <w:szCs w:val="20"/>
          <w:color w:val="auto"/>
        </w:rPr>
      </w:pPr>
    </w:p>
    <w:p>
      <w:pPr>
        <w:ind w:left="300" w:right="359" w:firstLine="360"/>
        <w:spacing w:after="0" w:line="255" w:lineRule="auto"/>
        <w:rPr>
          <w:sz w:val="20"/>
          <w:szCs w:val="20"/>
          <w:color w:val="auto"/>
        </w:rPr>
      </w:pPr>
      <w:r>
        <w:rPr>
          <w:rFonts w:ascii="Times New Roman" w:cs="Times New Roman" w:eastAsia="Times New Roman" w:hAnsi="Times New Roman"/>
          <w:sz w:val="18"/>
          <w:szCs w:val="18"/>
          <w:color w:val="auto"/>
        </w:rPr>
        <w:t xml:space="preserve">If this Letter of Transmittal is signed by the registered owner(s) of the Shares listed and transmitted hereby, no endorsements of Share Certificates or separate stock powers are required unless payment is to be made to, or Share Certificates representing Shares not tendered or accepted for payment are to be issued in the name of, a person other than the registered owner(s), in which case the Share Certificates representing the Shares tendered by this Letter of Transmittal must be endorsed or accompanied by appropriate stock powers, in either case, signed exactly as the name(s) of the registered owner(s) or holder(s) appear(s) on the Share Certificates. Signatures on such Share Certificates or stock powers </w:t>
      </w:r>
      <w:r>
        <w:rPr>
          <w:rFonts w:ascii="Times New Roman" w:cs="Times New Roman" w:eastAsia="Times New Roman" w:hAnsi="Times New Roman"/>
          <w:sz w:val="18"/>
          <w:szCs w:val="18"/>
          <w:b w:val="1"/>
          <w:bCs w:val="1"/>
          <w:u w:val="single" w:color="auto"/>
          <w:color w:val="auto"/>
        </w:rPr>
        <w:t>must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be guaranteed by an Eligible Institution.</w:t>
      </w:r>
    </w:p>
    <w:p>
      <w:pPr>
        <w:spacing w:after="0" w:line="81" w:lineRule="exact"/>
        <w:rPr>
          <w:sz w:val="20"/>
          <w:szCs w:val="20"/>
          <w:color w:val="auto"/>
        </w:rPr>
      </w:pPr>
    </w:p>
    <w:p>
      <w:pPr>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 xml:space="preserve">If this Letter of Transmittal is signed by a person other than the registered owner(s) of the Share(s) listed, the Share Certificate(s) must be endorsed or accompanied by the appropriate stock powers, in either case, signed exactly as the name or names of the registered owner(s) or holder(s) appear(s) on the Share Certificate(s). Signatures on such Share Certificates or stock powers </w:t>
      </w:r>
      <w:r>
        <w:rPr>
          <w:rFonts w:ascii="Times New Roman" w:cs="Times New Roman" w:eastAsia="Times New Roman" w:hAnsi="Times New Roman"/>
          <w:sz w:val="18"/>
          <w:szCs w:val="18"/>
          <w:b w:val="1"/>
          <w:bCs w:val="1"/>
          <w:u w:val="single" w:color="auto"/>
          <w:color w:val="auto"/>
        </w:rPr>
        <w:t>must</w:t>
      </w:r>
      <w:r>
        <w:rPr>
          <w:rFonts w:ascii="Times New Roman" w:cs="Times New Roman" w:eastAsia="Times New Roman" w:hAnsi="Times New Roman"/>
          <w:sz w:val="18"/>
          <w:szCs w:val="18"/>
          <w:color w:val="auto"/>
        </w:rPr>
        <w:t xml:space="preserve"> be guaranteed by an Eligible Institution.</w:t>
      </w:r>
    </w:p>
    <w:p>
      <w:pPr>
        <w:spacing w:after="0" w:line="68" w:lineRule="exact"/>
        <w:rPr>
          <w:sz w:val="20"/>
          <w:szCs w:val="20"/>
          <w:color w:val="auto"/>
        </w:rPr>
      </w:pPr>
    </w:p>
    <w:p>
      <w:pPr>
        <w:ind w:left="300" w:right="319" w:firstLine="360"/>
        <w:spacing w:after="0" w:line="268" w:lineRule="auto"/>
        <w:rPr>
          <w:sz w:val="20"/>
          <w:szCs w:val="20"/>
          <w:color w:val="auto"/>
        </w:rPr>
      </w:pPr>
      <w:r>
        <w:rPr>
          <w:rFonts w:ascii="Times New Roman" w:cs="Times New Roman" w:eastAsia="Times New Roman" w:hAnsi="Times New Roman"/>
          <w:sz w:val="18"/>
          <w:szCs w:val="18"/>
          <w:color w:val="auto"/>
        </w:rPr>
        <w:t xml:space="preserve">6.  </w:t>
      </w:r>
      <w:r>
        <w:rPr>
          <w:rFonts w:ascii="Times New Roman" w:cs="Times New Roman" w:eastAsia="Times New Roman" w:hAnsi="Times New Roman"/>
          <w:sz w:val="18"/>
          <w:szCs w:val="18"/>
          <w:b w:val="1"/>
          <w:bCs w:val="1"/>
          <w:color w:val="auto"/>
        </w:rPr>
        <w:t>Transfer Taxes.</w:t>
      </w:r>
      <w:r>
        <w:rPr>
          <w:rFonts w:ascii="Times New Roman" w:cs="Times New Roman" w:eastAsia="Times New Roman" w:hAnsi="Times New Roman"/>
          <w:sz w:val="18"/>
          <w:szCs w:val="18"/>
          <w:color w:val="auto"/>
        </w:rPr>
        <w:t xml:space="preserve"> Purchaser will pay any transfer taxes with respect to the transfer and sale of Shares to it or to its order pursuant to the Offer (for the avoidance of doubt, transfer taxes do not include United States federal income or backup withholding taxes ).</w:t>
      </w:r>
    </w:p>
    <w:p>
      <w:pPr>
        <w:spacing w:after="0" w:line="63" w:lineRule="exact"/>
        <w:rPr>
          <w:sz w:val="20"/>
          <w:szCs w:val="20"/>
          <w:color w:val="auto"/>
        </w:rPr>
      </w:pPr>
    </w:p>
    <w:p>
      <w:pPr>
        <w:ind w:left="300" w:right="299" w:firstLine="360"/>
        <w:spacing w:after="0" w:line="282" w:lineRule="auto"/>
        <w:rPr>
          <w:sz w:val="20"/>
          <w:szCs w:val="20"/>
          <w:color w:val="auto"/>
        </w:rPr>
      </w:pPr>
      <w:r>
        <w:rPr>
          <w:rFonts w:ascii="Times New Roman" w:cs="Times New Roman" w:eastAsia="Times New Roman" w:hAnsi="Times New Roman"/>
          <w:sz w:val="17"/>
          <w:szCs w:val="17"/>
          <w:color w:val="auto"/>
        </w:rPr>
        <w:t xml:space="preserve">7.  </w:t>
      </w:r>
      <w:r>
        <w:rPr>
          <w:rFonts w:ascii="Times New Roman" w:cs="Times New Roman" w:eastAsia="Times New Roman" w:hAnsi="Times New Roman"/>
          <w:sz w:val="17"/>
          <w:szCs w:val="17"/>
          <w:b w:val="1"/>
          <w:bCs w:val="1"/>
          <w:color w:val="auto"/>
        </w:rPr>
        <w:t>Special Payment and Delivery Instructions.</w:t>
      </w:r>
      <w:r>
        <w:rPr>
          <w:rFonts w:ascii="Times New Roman" w:cs="Times New Roman" w:eastAsia="Times New Roman" w:hAnsi="Times New Roman"/>
          <w:sz w:val="17"/>
          <w:szCs w:val="17"/>
          <w:color w:val="auto"/>
        </w:rPr>
        <w:t xml:space="preserve"> If a check for the aggregate Offer Price for all Shares accepted for payment is to be issued, and/or Share Certificates representing Shares not tendered or accepted for payment are to be issued or returned to, a person other than the signer(s) of this Letter of Transmittal or to an address other than that shown in the box titled “Description of Shares Tendered” above, the appropriate boxes on this Letter</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79" w:name="page80"/>
    <w:bookmarkEnd w:id="79"/>
    <w:p>
      <w:pPr>
        <w:ind w:left="300" w:right="339"/>
        <w:spacing w:after="0" w:line="275" w:lineRule="auto"/>
        <w:rPr>
          <w:sz w:val="20"/>
          <w:szCs w:val="20"/>
          <w:color w:val="auto"/>
        </w:rPr>
      </w:pPr>
      <w:r>
        <w:rPr>
          <w:rFonts w:ascii="Times New Roman" w:cs="Times New Roman" w:eastAsia="Times New Roman" w:hAnsi="Times New Roman"/>
          <w:sz w:val="17"/>
          <w:szCs w:val="17"/>
          <w:color w:val="auto"/>
        </w:rPr>
        <w:t xml:space="preserve">of Transmittal should be completed. Stockholders completing either or both sections </w:t>
      </w:r>
      <w:r>
        <w:rPr>
          <w:rFonts w:ascii="Times New Roman" w:cs="Times New Roman" w:eastAsia="Times New Roman" w:hAnsi="Times New Roman"/>
          <w:sz w:val="17"/>
          <w:szCs w:val="17"/>
          <w:b w:val="1"/>
          <w:bCs w:val="1"/>
          <w:u w:val="single" w:color="auto"/>
          <w:color w:val="auto"/>
        </w:rPr>
        <w:t>must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be guaranteed by a firm</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that is a bank, broker, dealer, credit union, savings association or other entity that is an Eligible Institution. </w:t>
      </w:r>
      <w:r>
        <w:rPr>
          <w:rFonts w:ascii="Times New Roman" w:cs="Times New Roman" w:eastAsia="Times New Roman" w:hAnsi="Times New Roman"/>
          <w:sz w:val="17"/>
          <w:szCs w:val="17"/>
          <w:color w:val="auto"/>
        </w:rPr>
        <w:t>Stockholders delivering Shares tendered hereby or by Agent’s Message by book-entry transfer may request that Shares not purchased be credited to an account maintained at DTC as such stockholder may designate in the box titled “Special Payment Instructions” herein. If no such instructions are given, all such Shares not purchased will be returned by crediting the same account at DTC as the account from which such Shares were delivered.</w:t>
      </w:r>
    </w:p>
    <w:p>
      <w:pPr>
        <w:spacing w:after="0" w:line="60" w:lineRule="exact"/>
        <w:rPr>
          <w:sz w:val="20"/>
          <w:szCs w:val="20"/>
          <w:color w:val="auto"/>
        </w:rPr>
      </w:pPr>
    </w:p>
    <w:p>
      <w:pPr>
        <w:ind w:left="300" w:right="559" w:firstLine="360"/>
        <w:spacing w:after="0" w:line="259" w:lineRule="auto"/>
        <w:rPr>
          <w:sz w:val="20"/>
          <w:szCs w:val="20"/>
          <w:color w:val="auto"/>
        </w:rPr>
      </w:pPr>
      <w:r>
        <w:rPr>
          <w:rFonts w:ascii="Times New Roman" w:cs="Times New Roman" w:eastAsia="Times New Roman" w:hAnsi="Times New Roman"/>
          <w:sz w:val="18"/>
          <w:szCs w:val="18"/>
          <w:color w:val="auto"/>
        </w:rPr>
        <w:t xml:space="preserve">8.  </w:t>
      </w:r>
      <w:r>
        <w:rPr>
          <w:rFonts w:ascii="Times New Roman" w:cs="Times New Roman" w:eastAsia="Times New Roman" w:hAnsi="Times New Roman"/>
          <w:sz w:val="18"/>
          <w:szCs w:val="18"/>
          <w:b w:val="1"/>
          <w:bCs w:val="1"/>
          <w:color w:val="auto"/>
        </w:rPr>
        <w:t>Requests for Assistance or Additional Copies.</w:t>
      </w:r>
      <w:r>
        <w:rPr>
          <w:rFonts w:ascii="Times New Roman" w:cs="Times New Roman" w:eastAsia="Times New Roman" w:hAnsi="Times New Roman"/>
          <w:sz w:val="18"/>
          <w:szCs w:val="18"/>
          <w:color w:val="auto"/>
        </w:rPr>
        <w:t xml:space="preserve"> Questions or requests for assistance may be directed to the Information Agent at its address and telephone numbers set forth below or to your broker, dealer, commercial bank or trust company. Additional copies of the Offer to Purchase, this Letter of Transmittal, the Notice of Guaranteed Delivery and other tender offer materials may be obtained from the Information Agent as set forth below, and will be furnished at Purchaser’s expense.</w:t>
      </w:r>
    </w:p>
    <w:p>
      <w:pPr>
        <w:spacing w:after="0" w:line="71"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 xml:space="preserve">9.  </w:t>
      </w:r>
      <w:r>
        <w:rPr>
          <w:rFonts w:ascii="Times New Roman" w:cs="Times New Roman" w:eastAsia="Times New Roman" w:hAnsi="Times New Roman"/>
          <w:sz w:val="18"/>
          <w:szCs w:val="18"/>
          <w:b w:val="1"/>
          <w:bCs w:val="1"/>
          <w:color w:val="auto"/>
        </w:rPr>
        <w:t>Backup Withholding.</w:t>
      </w:r>
      <w:r>
        <w:rPr>
          <w:rFonts w:ascii="Times New Roman" w:cs="Times New Roman" w:eastAsia="Times New Roman" w:hAnsi="Times New Roman"/>
          <w:sz w:val="18"/>
          <w:szCs w:val="18"/>
          <w:color w:val="auto"/>
        </w:rPr>
        <w:t xml:space="preserve"> Under U.S. federal income tax laws, the Depositary will be required to withhold a portion of the amount of any payments made to certain stockholders pursuant to the Offer or the Merger, as applicable. In order to avoid such backup withholding, each stockholder or payee that is a United States person (for U.S. federal income tax purposes), must provide the Depositary with such stockholder’s or payee’s correct taxpayer identification number (“TIN”) and certify that such stockholder or payee is not subject to such backup withholding by completing the attached Form W-9. Certain stockholders or payees (including, among others, corporations, non-resident foreign individuals and foreign entities) are not subject to these backup withholding and reporting requirements. In order for a tendering stockholder who is a foreign individual or a foreign entity to avoid backup withholding, such person must complete, sign, and submit to the Depositary the appropriate Form W-8. A Form W-8 may be obtained from the Depositary or downloaded from the Internal Revenue Service’s website at the following address: </w:t>
      </w:r>
      <w:r>
        <w:rPr>
          <w:rFonts w:ascii="Times New Roman" w:cs="Times New Roman" w:eastAsia="Times New Roman" w:hAnsi="Times New Roman"/>
          <w:sz w:val="18"/>
          <w:szCs w:val="18"/>
          <w:i w:val="1"/>
          <w:iCs w:val="1"/>
          <w:color w:val="auto"/>
        </w:rPr>
        <w:t>http://www.irs.gov.</w:t>
      </w:r>
      <w:r>
        <w:rPr>
          <w:rFonts w:ascii="Times New Roman" w:cs="Times New Roman" w:eastAsia="Times New Roman" w:hAnsi="Times New Roman"/>
          <w:sz w:val="18"/>
          <w:szCs w:val="18"/>
          <w:color w:val="auto"/>
        </w:rPr>
        <w:t xml:space="preserve"> Such stockholders should consult a tax advisor to determine which Form W-8 is appropriate. Failure to complete the Form W-9 will not, by itself, cause Shares to be deemed invalidly tendered, but may require the Depositary to withhold a portion of the amount of any payments made of the Offer Price pursuant to the Offer.</w:t>
      </w:r>
    </w:p>
    <w:p>
      <w:pPr>
        <w:spacing w:after="0" w:line="77" w:lineRule="exact"/>
        <w:rPr>
          <w:sz w:val="20"/>
          <w:szCs w:val="20"/>
          <w:color w:val="auto"/>
        </w:rPr>
      </w:pPr>
    </w:p>
    <w:p>
      <w:pPr>
        <w:ind w:left="300" w:right="33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NOTE: FAILURE TO COMPLETE AND RETURN THE FORM W-9 OR RELEVANT FORM W-8, AS APPLICABLE, MAY RESULT IN BACKUP WITHHOLDING OF A PORTION OF ANY PAYMENTS MADE TO YOU PURSUANT TO THE OFFER. PLEASE REVIEW THE “IMPORTANT TAX INFORMATION” SECTION BELOW.</w:t>
      </w:r>
    </w:p>
    <w:p>
      <w:pPr>
        <w:spacing w:after="0" w:line="68" w:lineRule="exact"/>
        <w:rPr>
          <w:sz w:val="20"/>
          <w:szCs w:val="20"/>
          <w:color w:val="auto"/>
        </w:rPr>
      </w:pPr>
    </w:p>
    <w:p>
      <w:pPr>
        <w:ind w:left="300" w:right="479" w:firstLine="360"/>
        <w:spacing w:after="0" w:line="259" w:lineRule="auto"/>
        <w:rPr>
          <w:sz w:val="20"/>
          <w:szCs w:val="20"/>
          <w:color w:val="auto"/>
        </w:rPr>
      </w:pPr>
      <w:r>
        <w:rPr>
          <w:rFonts w:ascii="Times New Roman" w:cs="Times New Roman" w:eastAsia="Times New Roman" w:hAnsi="Times New Roman"/>
          <w:sz w:val="18"/>
          <w:szCs w:val="18"/>
          <w:color w:val="auto"/>
        </w:rPr>
        <w:t xml:space="preserve">10.  </w:t>
      </w:r>
      <w:r>
        <w:rPr>
          <w:rFonts w:ascii="Times New Roman" w:cs="Times New Roman" w:eastAsia="Times New Roman" w:hAnsi="Times New Roman"/>
          <w:sz w:val="18"/>
          <w:szCs w:val="18"/>
          <w:b w:val="1"/>
          <w:bCs w:val="1"/>
          <w:color w:val="auto"/>
        </w:rPr>
        <w:t>Lost, Destroyed, Mutilated or Stolen Share Certificates.</w:t>
      </w:r>
      <w:r>
        <w:rPr>
          <w:rFonts w:ascii="Times New Roman" w:cs="Times New Roman" w:eastAsia="Times New Roman" w:hAnsi="Times New Roman"/>
          <w:sz w:val="18"/>
          <w:szCs w:val="18"/>
          <w:color w:val="auto"/>
        </w:rPr>
        <w:t xml:space="preserve"> If any Share Certificate has been lost, destroyed, mutilated or stolen, the stockholder should promptly notify Pacira’s stock transfer agent, Fidelity Stock Transfer at +1 (833) 500-1036 The stockholder will then be instructed as to the steps that must be taken in order to replace the Share Certificate. This Letter of Transmittal and related documents cannot be processed until the procedures for replacing lost, mutilated, destroyed or stolen Share Certificates have been followed.</w:t>
      </w:r>
    </w:p>
    <w:p>
      <w:pPr>
        <w:spacing w:after="0" w:line="71"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b w:val="1"/>
          <w:bCs w:val="1"/>
          <w:color w:val="auto"/>
        </w:rPr>
        <w:t>Waiver of Conditions.</w:t>
      </w:r>
      <w:r>
        <w:rPr>
          <w:rFonts w:ascii="Times New Roman" w:cs="Times New Roman" w:eastAsia="Times New Roman" w:hAnsi="Times New Roman"/>
          <w:sz w:val="18"/>
          <w:szCs w:val="18"/>
          <w:color w:val="auto"/>
        </w:rPr>
        <w:t xml:space="preserve"> Viatris and Purchaser expressly reserve the right to increase the Offer Price and the right to waive or make any other changes to the terms and conditions of the Offer that are not inconsistent with the terms of the Merger Agreement. However, unless otherwise provided by the Merger Agreement, without the prior written consent of Pacira, Viatris and Purchaser are not permitted to (i) decrease the Offer Price, (ii) change the form of consideration payable in the Offer, (iii) decrease the maximum number of Shares sought to be purchased in the Offer, (iv) impose conditions to the Offer in addition to the Offer Conditions, (v) amend or modify any of the Offer Conditions in a manner that adversely affects, or would reasonably be expected to adversely affect, any holder of Shares or that would, individually or in the aggregate, reasonably be expected to prevent, materially delay or materially impair the consummation of the Offer or the Merger, (vi) amend, modify, change or waive the Minimum Condition, the Termination Condition or the Non-Prohibition Condition, (vii) terminate the Offer or accelerate, extend or otherwise change the Expiration Date, except in accordance with the applicable provisions of the Merger Agreement, or (viii) provide any “subsequent offering period” within the meaning of Rule 14d-11 promulgated under the Exchange Act.</w:t>
      </w:r>
    </w:p>
    <w:p>
      <w:pPr>
        <w:spacing w:after="0" w:line="79" w:lineRule="exact"/>
        <w:rPr>
          <w:sz w:val="20"/>
          <w:szCs w:val="20"/>
          <w:color w:val="auto"/>
        </w:rPr>
      </w:pPr>
    </w:p>
    <w:p>
      <w:pPr>
        <w:ind w:left="300" w:right="319" w:firstLine="360"/>
        <w:spacing w:after="0" w:line="282" w:lineRule="auto"/>
        <w:rPr>
          <w:sz w:val="20"/>
          <w:szCs w:val="20"/>
          <w:color w:val="auto"/>
        </w:rPr>
      </w:pPr>
      <w:r>
        <w:rPr>
          <w:rFonts w:ascii="Times New Roman" w:cs="Times New Roman" w:eastAsia="Times New Roman" w:hAnsi="Times New Roman"/>
          <w:sz w:val="17"/>
          <w:szCs w:val="17"/>
          <w:b w:val="1"/>
          <w:bCs w:val="1"/>
          <w:color w:val="auto"/>
        </w:rPr>
        <w:t>IMPORTANT: SHARE CERTIFICATES, OR A BOOK-ENTRY CONFIRMATION INTO THE DEPOSITARY’S ACCOUNT AT DTC, AS WELL AS THIS LETTER OF TRANSMITTAL, PROPERLY COMPLETED AND DULY EXECUTED, WITH ANY REQUIRED SIGNATURE GUARANTEES, OR AN AGENT’S MESSAGE (IF UTILIZED IN LIEU OF THIS LETTER OF TRANSMITTAL IN CONNECTION</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39" w:right="1440" w:bottom="1440" w:gutter="0" w:footer="0" w:header="0"/>
        </w:sectPr>
      </w:pPr>
    </w:p>
    <w:bookmarkStart w:id="80" w:name="page81"/>
    <w:bookmarkEnd w:id="80"/>
    <w:p>
      <w:pPr>
        <w:jc w:val="both"/>
        <w:ind w:left="300" w:right="319"/>
        <w:spacing w:after="0" w:line="291" w:lineRule="auto"/>
        <w:rPr>
          <w:sz w:val="20"/>
          <w:szCs w:val="20"/>
          <w:color w:val="auto"/>
        </w:rPr>
      </w:pPr>
      <w:r>
        <w:rPr>
          <w:rFonts w:ascii="Times New Roman" w:cs="Times New Roman" w:eastAsia="Times New Roman" w:hAnsi="Times New Roman"/>
          <w:sz w:val="17"/>
          <w:szCs w:val="17"/>
          <w:b w:val="1"/>
          <w:bCs w:val="1"/>
          <w:color w:val="auto"/>
        </w:rPr>
        <w:t>WITH A BOOK-ENTRY TRANSFER), AND ANY OTHER DOCUMENTS REQUIRED BY THIS LETTER OF TRANSMITTAL, MUST BE RECEIVED BEFORE THE EXPIRATION DATE, OR THE TENDERING STOCKHOLDER MUST COMPLY WITH THE PROCEDURES FOR GUARANTEED DELIVERY.</w:t>
      </w: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IMPORTANT TAX INFORMATION</w:t>
      </w:r>
    </w:p>
    <w:p>
      <w:pPr>
        <w:spacing w:after="0" w:line="121" w:lineRule="exact"/>
        <w:rPr>
          <w:sz w:val="20"/>
          <w:szCs w:val="20"/>
          <w:color w:val="auto"/>
        </w:rPr>
      </w:pPr>
    </w:p>
    <w:p>
      <w:pPr>
        <w:ind w:left="300" w:right="339" w:firstLine="360"/>
        <w:spacing w:after="0" w:line="255" w:lineRule="auto"/>
        <w:rPr>
          <w:sz w:val="20"/>
          <w:szCs w:val="20"/>
          <w:color w:val="auto"/>
        </w:rPr>
      </w:pPr>
      <w:r>
        <w:rPr>
          <w:rFonts w:ascii="Times New Roman" w:cs="Times New Roman" w:eastAsia="Times New Roman" w:hAnsi="Times New Roman"/>
          <w:sz w:val="18"/>
          <w:szCs w:val="18"/>
          <w:color w:val="auto"/>
        </w:rPr>
        <w:t>Under United States federal income tax law, a stockholder that is a non-exempt United States person (for U.S. federal income tax purposes) whose tendered Shares are accepted for payment, or whose Shares are converted in the Merger, is required by law to provide the Depositary (as payer) with such stockholder’s correct TIN on Form W-9 below. If such stockholder is an individual, the TIN is such stockholder’s social security number. If the Depositary is not provided with the correct TIN, the stockholder may be subject to penalties imposed by the Internal Revenue Service (“IRS”) and payments that are made to such stockholder with respect to Shares purchased pursuant to the Offer, or converted in the Merger, may be subject to backup withholding.</w:t>
      </w:r>
    </w:p>
    <w:p>
      <w:pPr>
        <w:spacing w:after="0" w:line="81" w:lineRule="exact"/>
        <w:rPr>
          <w:sz w:val="20"/>
          <w:szCs w:val="20"/>
          <w:color w:val="auto"/>
        </w:rPr>
      </w:pPr>
    </w:p>
    <w:p>
      <w:pPr>
        <w:ind w:left="300" w:right="639" w:firstLine="360"/>
        <w:spacing w:after="0" w:line="258" w:lineRule="auto"/>
        <w:rPr>
          <w:sz w:val="20"/>
          <w:szCs w:val="20"/>
          <w:color w:val="auto"/>
        </w:rPr>
      </w:pPr>
      <w:r>
        <w:rPr>
          <w:rFonts w:ascii="Times New Roman" w:cs="Times New Roman" w:eastAsia="Times New Roman" w:hAnsi="Times New Roman"/>
          <w:sz w:val="18"/>
          <w:szCs w:val="18"/>
          <w:color w:val="auto"/>
        </w:rPr>
        <w:t>If backup withholding applies, the Depositary is required to withhold 24% of any payments of the purchase price made to the stockholder. Backup withholding is not an additional tax. Rather, the tax liability of persons subject to backup withholding will be reduced by the amount of tax withheld. If withholding results in an overpayment of taxes, a refund or credit may be obtained from the IRS provided that the required information is furnished to the IRS.</w:t>
      </w:r>
    </w:p>
    <w:p>
      <w:pPr>
        <w:spacing w:after="0" w:line="3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Form W-9</w:t>
      </w:r>
    </w:p>
    <w:p>
      <w:pPr>
        <w:spacing w:after="0" w:line="121"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To prevent backup withholding on payments that are made to a United States stockholder with respect to Shares purchased pursuant to the Offer or converted in the Merger, as applicable, the stockholder is required to notify the Depositary of such stockholder’s correct TIN by completing Form W-9 certifying, under penalties of perjury, (i) that the TIN provided on Form W-9 is correct (or that such stockholder is awaiting a TIN), (ii) that such stockholder is not subject to backup withholding because (a) such stockholder has not been notified by the IRS that such stockholder is subject to backup withholding as a result of a failure to report all interest or dividends, (b) the IRS has notified such stockholder that such stockholder is no longer subject to backup withholding or (c) such stockholder is exempt from backup withholding, and (iii) that such stockholder is a U.S. person.</w:t>
      </w:r>
    </w:p>
    <w:p>
      <w:pPr>
        <w:spacing w:after="0" w:line="3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Number to Give the Depositary</w:t>
      </w:r>
    </w:p>
    <w:p>
      <w:pPr>
        <w:spacing w:after="0" w:line="121"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Each United States stockholder is generally required to give the Depositary its social security number or employer identification number. If the tendering stockholder has not been issued a TIN and has applied for a number or intends to apply for a number in the near future, the stockholder should write “Applied For” in Part I, sign and date the Form W-9. Notwithstanding that “Applied For” is written in Part I, the Depositary will withhold 24% of all payments of the purchase price to such stockholder until a TIN is provided to the Depositary. Such amounts will be refunded to such surrendering stockholder if a TIN is provided to the Depositary within 60 days. We note that your Form W-9, including your TIN, may be transferred from the Depositary to the Paying Agent, in certain circumstances.</w:t>
      </w:r>
    </w:p>
    <w:p>
      <w:pPr>
        <w:spacing w:after="0" w:line="80" w:lineRule="exact"/>
        <w:rPr>
          <w:sz w:val="20"/>
          <w:szCs w:val="20"/>
          <w:color w:val="auto"/>
        </w:rPr>
      </w:pPr>
    </w:p>
    <w:p>
      <w:pPr>
        <w:ind w:left="300" w:right="73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Please consult your accountant or tax advisor for further guidance regarding the completion of IRS Form W-9 or applicable IRS Form W-8 to claim exemption from backup withholding, or contact the Depositary.</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39" w:right="1440" w:bottom="1440" w:gutter="0" w:footer="0" w:header="0"/>
        </w:sectPr>
      </w:pPr>
    </w:p>
    <w:bookmarkStart w:id="81" w:name="page82"/>
    <w:bookmarkEnd w:id="8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165735</wp:posOffset>
            </wp:positionV>
            <wp:extent cx="5597525" cy="72434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0">
                      <a:clrChange>
                        <a:clrFrom>
                          <a:srgbClr val="FFFFFF"/>
                        </a:clrFrom>
                        <a:clrTo>
                          <a:srgbClr val="FFFFFF">
                            <a:alpha val="0"/>
                          </a:srgbClr>
                        </a:clrTo>
                      </a:clrChange>
                      <a:extLst>
                        <a:ext uri="{28A0092B-C50C-407E-A947-70E740481C1C}"/>
                      </a:extLst>
                    </a:blip>
                    <a:srcRect/>
                    <a:stretch>
                      <a:fillRect/>
                    </a:stretch>
                  </pic:blipFill>
                  <pic:spPr bwMode="auto">
                    <a:xfrm>
                      <a:off x="0" y="0"/>
                      <a:ext cx="5597525" cy="7243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82" w:name="page83"/>
    <w:bookmarkEnd w:id="8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165735</wp:posOffset>
            </wp:positionV>
            <wp:extent cx="5597525" cy="72434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2">
                      <a:clrChange>
                        <a:clrFrom>
                          <a:srgbClr val="FFFFFF"/>
                        </a:clrFrom>
                        <a:clrTo>
                          <a:srgbClr val="FFFFFF">
                            <a:alpha val="0"/>
                          </a:srgbClr>
                        </a:clrTo>
                      </a:clrChange>
                      <a:extLst>
                        <a:ext uri="{28A0092B-C50C-407E-A947-70E740481C1C}"/>
                      </a:extLst>
                    </a:blip>
                    <a:srcRect/>
                    <a:stretch>
                      <a:fillRect/>
                    </a:stretch>
                  </pic:blipFill>
                  <pic:spPr bwMode="auto">
                    <a:xfrm>
                      <a:off x="0" y="0"/>
                      <a:ext cx="5597525" cy="7243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83" w:name="page84"/>
    <w:bookmarkEnd w:id="8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165735</wp:posOffset>
            </wp:positionV>
            <wp:extent cx="5597525" cy="72434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4">
                      <a:clrChange>
                        <a:clrFrom>
                          <a:srgbClr val="FFFFFF"/>
                        </a:clrFrom>
                        <a:clrTo>
                          <a:srgbClr val="FFFFFF">
                            <a:alpha val="0"/>
                          </a:srgbClr>
                        </a:clrTo>
                      </a:clrChange>
                      <a:extLst>
                        <a:ext uri="{28A0092B-C50C-407E-A947-70E740481C1C}"/>
                      </a:extLst>
                    </a:blip>
                    <a:srcRect/>
                    <a:stretch>
                      <a:fillRect/>
                    </a:stretch>
                  </pic:blipFill>
                  <pic:spPr bwMode="auto">
                    <a:xfrm>
                      <a:off x="0" y="0"/>
                      <a:ext cx="5597525" cy="7243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84" w:name="page85"/>
    <w:bookmarkEnd w:id="8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165735</wp:posOffset>
            </wp:positionV>
            <wp:extent cx="5597525" cy="72434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6">
                      <a:clrChange>
                        <a:clrFrom>
                          <a:srgbClr val="FFFFFF"/>
                        </a:clrFrom>
                        <a:clrTo>
                          <a:srgbClr val="FFFFFF">
                            <a:alpha val="0"/>
                          </a:srgbClr>
                        </a:clrTo>
                      </a:clrChange>
                      <a:extLst>
                        <a:ext uri="{28A0092B-C50C-407E-A947-70E740481C1C}"/>
                      </a:extLst>
                    </a:blip>
                    <a:srcRect/>
                    <a:stretch>
                      <a:fillRect/>
                    </a:stretch>
                  </pic:blipFill>
                  <pic:spPr bwMode="auto">
                    <a:xfrm>
                      <a:off x="0" y="0"/>
                      <a:ext cx="5597525" cy="7243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85" w:name="page86"/>
    <w:bookmarkEnd w:id="8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165735</wp:posOffset>
            </wp:positionV>
            <wp:extent cx="5597525" cy="72434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8">
                      <a:clrChange>
                        <a:clrFrom>
                          <a:srgbClr val="FFFFFF"/>
                        </a:clrFrom>
                        <a:clrTo>
                          <a:srgbClr val="FFFFFF">
                            <a:alpha val="0"/>
                          </a:srgbClr>
                        </a:clrTo>
                      </a:clrChange>
                      <a:extLst>
                        <a:ext uri="{28A0092B-C50C-407E-A947-70E740481C1C}"/>
                      </a:extLst>
                    </a:blip>
                    <a:srcRect/>
                    <a:stretch>
                      <a:fillRect/>
                    </a:stretch>
                  </pic:blipFill>
                  <pic:spPr bwMode="auto">
                    <a:xfrm>
                      <a:off x="0" y="0"/>
                      <a:ext cx="5597525" cy="7243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86" w:name="page87"/>
    <w:bookmarkEnd w:id="8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165735</wp:posOffset>
            </wp:positionV>
            <wp:extent cx="5597525" cy="72434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0">
                      <a:clrChange>
                        <a:clrFrom>
                          <a:srgbClr val="FFFFFF"/>
                        </a:clrFrom>
                        <a:clrTo>
                          <a:srgbClr val="FFFFFF">
                            <a:alpha val="0"/>
                          </a:srgbClr>
                        </a:clrTo>
                      </a:clrChange>
                      <a:extLst>
                        <a:ext uri="{28A0092B-C50C-407E-A947-70E740481C1C}"/>
                      </a:extLst>
                    </a:blip>
                    <a:srcRect/>
                    <a:stretch>
                      <a:fillRect/>
                    </a:stretch>
                  </pic:blipFill>
                  <pic:spPr bwMode="auto">
                    <a:xfrm>
                      <a:off x="0" y="0"/>
                      <a:ext cx="5597525" cy="7243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87" w:name="page88"/>
    <w:bookmarkEnd w:id="87"/>
    <w:p>
      <w:pPr>
        <w:ind w:left="3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3534410</wp:posOffset>
            </wp:positionH>
            <wp:positionV relativeFrom="page">
              <wp:posOffset>165735</wp:posOffset>
            </wp:positionV>
            <wp:extent cx="488950" cy="4883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2">
                      <a:clrChange>
                        <a:clrFrom>
                          <a:srgbClr val="FFFFFF"/>
                        </a:clrFrom>
                        <a:clrTo>
                          <a:srgbClr val="FFFFFF">
                            <a:alpha val="0"/>
                          </a:srgbClr>
                        </a:clrTo>
                      </a:clrChange>
                      <a:extLst>
                        <a:ext uri="{28A0092B-C50C-407E-A947-70E740481C1C}"/>
                      </a:extLst>
                    </a:blip>
                    <a:srcRect/>
                    <a:stretch>
                      <a:fillRect/>
                    </a:stretch>
                  </pic:blipFill>
                  <pic:spPr bwMode="auto">
                    <a:xfrm>
                      <a:off x="0" y="0"/>
                      <a:ext cx="488950" cy="488315"/>
                    </a:xfrm>
                    <a:prstGeom prst="rect">
                      <a:avLst/>
                    </a:prstGeom>
                    <a:noFill/>
                  </pic:spPr>
                </pic:pic>
              </a:graphicData>
            </a:graphic>
          </wp:anchor>
        </w:drawing>
        <w:t> </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Depositary for the Offer to Purchase is:</w:t>
      </w:r>
    </w:p>
    <w:p>
      <w:pPr>
        <w:spacing w:after="0" w:line="254" w:lineRule="exact"/>
        <w:rPr>
          <w:sz w:val="20"/>
          <w:szCs w:val="20"/>
          <w:color w:val="auto"/>
        </w:rPr>
      </w:pPr>
    </w:p>
    <w:tbl>
      <w:tblPr>
        <w:tblLayout w:type="fixed"/>
        <w:tblInd w:w="800" w:type="dxa"/>
        <w:tblCellMar>
          <w:top w:w="0" w:type="dxa"/>
          <w:left w:w="0" w:type="dxa"/>
          <w:bottom w:w="0" w:type="dxa"/>
          <w:right w:w="0" w:type="dxa"/>
        </w:tblCellMar>
      </w:tblPr>
      <w:tr>
        <w:trPr>
          <w:trHeight w:val="207"/>
        </w:trPr>
        <w:tc>
          <w:tcPr>
            <w:tcW w:w="3700" w:type="dxa"/>
            <w:vAlign w:val="bottom"/>
            <w:gridSpan w:val="5"/>
          </w:tcPr>
          <w:p>
            <w:pPr>
              <w:jc w:val="center"/>
              <w:ind w:right="600"/>
              <w:spacing w:after="0"/>
              <w:rPr>
                <w:sz w:val="20"/>
                <w:szCs w:val="20"/>
                <w:color w:val="auto"/>
              </w:rPr>
            </w:pPr>
            <w:r>
              <w:rPr>
                <w:rFonts w:ascii="Times New Roman" w:cs="Times New Roman" w:eastAsia="Times New Roman" w:hAnsi="Times New Roman"/>
                <w:sz w:val="18"/>
                <w:szCs w:val="18"/>
                <w:color w:val="auto"/>
                <w:w w:val="99"/>
              </w:rPr>
              <w:t>If delivering by express mail, courier,</w:t>
            </w:r>
          </w:p>
        </w:tc>
        <w:tc>
          <w:tcPr>
            <w:tcW w:w="3720" w:type="dxa"/>
            <w:vAlign w:val="bottom"/>
            <w:gridSpan w:val="3"/>
          </w:tcPr>
          <w:p>
            <w:pPr>
              <w:jc w:val="center"/>
              <w:ind w:left="530"/>
              <w:spacing w:after="0"/>
              <w:rPr>
                <w:sz w:val="20"/>
                <w:szCs w:val="20"/>
                <w:color w:val="auto"/>
              </w:rPr>
            </w:pPr>
            <w:r>
              <w:rPr>
                <w:rFonts w:ascii="Times New Roman" w:cs="Times New Roman" w:eastAsia="Times New Roman" w:hAnsi="Times New Roman"/>
                <w:sz w:val="18"/>
                <w:szCs w:val="18"/>
                <w:color w:val="auto"/>
                <w:w w:val="99"/>
              </w:rPr>
              <w:t>By mail:</w:t>
            </w:r>
          </w:p>
        </w:tc>
      </w:tr>
      <w:tr>
        <w:trPr>
          <w:trHeight w:val="196"/>
        </w:trPr>
        <w:tc>
          <w:tcPr>
            <w:tcW w:w="2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2320" w:type="dxa"/>
            <w:vAlign w:val="bottom"/>
            <w:tcBorders>
              <w:top w:val="single" w:sz="8" w:color="auto"/>
            </w:tcBorders>
            <w:gridSpan w:val="2"/>
          </w:tcPr>
          <w:p>
            <w:pPr>
              <w:jc w:val="center"/>
              <w:ind w:right="400"/>
              <w:spacing w:after="0" w:line="196" w:lineRule="exact"/>
              <w:rPr>
                <w:sz w:val="20"/>
                <w:szCs w:val="20"/>
                <w:color w:val="auto"/>
              </w:rPr>
            </w:pPr>
            <w:r>
              <w:rPr>
                <w:rFonts w:ascii="Times New Roman" w:cs="Times New Roman" w:eastAsia="Times New Roman" w:hAnsi="Times New Roman"/>
                <w:sz w:val="18"/>
                <w:szCs w:val="18"/>
                <w:color w:val="auto"/>
              </w:rPr>
              <w:t>or other expedited service:</w:t>
            </w: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620" w:type="dxa"/>
            <w:vAlign w:val="bottom"/>
            <w:tcBorders>
              <w:top w:val="single" w:sz="8" w:color="auto"/>
            </w:tcBorders>
          </w:tcPr>
          <w:p>
            <w:pPr>
              <w:ind w:left="220"/>
              <w:spacing w:after="0" w:line="196" w:lineRule="exact"/>
              <w:rPr>
                <w:sz w:val="20"/>
                <w:szCs w:val="20"/>
                <w:color w:val="auto"/>
              </w:rPr>
            </w:pPr>
            <w:r>
              <w:rPr>
                <w:rFonts w:ascii="Times New Roman" w:cs="Times New Roman" w:eastAsia="Times New Roman" w:hAnsi="Times New Roman"/>
                <w:sz w:val="18"/>
                <w:szCs w:val="18"/>
                <w:color w:val="auto"/>
              </w:rPr>
              <w:t> </w:t>
            </w:r>
          </w:p>
        </w:tc>
        <w:tc>
          <w:tcPr>
            <w:tcW w:w="1240" w:type="dxa"/>
            <w:vAlign w:val="bottom"/>
          </w:tcPr>
          <w:p>
            <w:pPr>
              <w:spacing w:after="0"/>
              <w:rPr>
                <w:sz w:val="17"/>
                <w:szCs w:val="17"/>
                <w:color w:val="auto"/>
              </w:rPr>
            </w:pPr>
          </w:p>
        </w:tc>
      </w:tr>
      <w:tr>
        <w:trPr>
          <w:trHeight w:val="218"/>
        </w:trPr>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20" w:type="dxa"/>
            <w:vAlign w:val="bottom"/>
            <w:tcBorders>
              <w:top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gridSpan w:val="2"/>
          </w:tcPr>
          <w:p>
            <w:pPr>
              <w:spacing w:after="0"/>
              <w:rPr>
                <w:sz w:val="18"/>
                <w:szCs w:val="18"/>
                <w:color w:val="auto"/>
              </w:rPr>
            </w:pPr>
          </w:p>
        </w:tc>
        <w:tc>
          <w:tcPr>
            <w:tcW w:w="3720" w:type="dxa"/>
            <w:vAlign w:val="bottom"/>
            <w:gridSpan w:val="3"/>
          </w:tcPr>
          <w:p>
            <w:pPr>
              <w:jc w:val="center"/>
              <w:ind w:left="510"/>
              <w:spacing w:after="0"/>
              <w:rPr>
                <w:sz w:val="20"/>
                <w:szCs w:val="20"/>
                <w:color w:val="auto"/>
              </w:rPr>
            </w:pPr>
            <w:r>
              <w:rPr>
                <w:rFonts w:ascii="Times New Roman" w:cs="Times New Roman" w:eastAsia="Times New Roman" w:hAnsi="Times New Roman"/>
                <w:sz w:val="18"/>
                <w:szCs w:val="18"/>
                <w:color w:val="auto"/>
                <w:w w:val="99"/>
              </w:rPr>
              <w:t>Equiniti Trust Company, LLC</w:t>
            </w:r>
          </w:p>
        </w:tc>
      </w:tr>
      <w:tr>
        <w:trPr>
          <w:trHeight w:val="216"/>
        </w:trPr>
        <w:tc>
          <w:tcPr>
            <w:tcW w:w="200" w:type="dxa"/>
            <w:vAlign w:val="bottom"/>
          </w:tcPr>
          <w:p>
            <w:pPr>
              <w:spacing w:after="0"/>
              <w:rPr>
                <w:sz w:val="18"/>
                <w:szCs w:val="18"/>
                <w:color w:val="auto"/>
              </w:rPr>
            </w:pPr>
          </w:p>
        </w:tc>
        <w:tc>
          <w:tcPr>
            <w:tcW w:w="3500" w:type="dxa"/>
            <w:vAlign w:val="bottom"/>
            <w:gridSpan w:val="4"/>
          </w:tcPr>
          <w:p>
            <w:pPr>
              <w:jc w:val="center"/>
              <w:ind w:right="820"/>
              <w:spacing w:after="0"/>
              <w:rPr>
                <w:sz w:val="20"/>
                <w:szCs w:val="20"/>
                <w:color w:val="auto"/>
              </w:rPr>
            </w:pPr>
            <w:r>
              <w:rPr>
                <w:rFonts w:ascii="Times New Roman" w:cs="Times New Roman" w:eastAsia="Times New Roman" w:hAnsi="Times New Roman"/>
                <w:sz w:val="18"/>
                <w:szCs w:val="18"/>
                <w:color w:val="auto"/>
                <w:w w:val="99"/>
              </w:rPr>
              <w:t>Equiniti Trust Company, LLC</w:t>
            </w:r>
          </w:p>
        </w:tc>
        <w:tc>
          <w:tcPr>
            <w:tcW w:w="3720" w:type="dxa"/>
            <w:vAlign w:val="bottom"/>
            <w:gridSpan w:val="3"/>
          </w:tcPr>
          <w:p>
            <w:pPr>
              <w:jc w:val="center"/>
              <w:ind w:left="510"/>
              <w:spacing w:after="0"/>
              <w:rPr>
                <w:sz w:val="20"/>
                <w:szCs w:val="20"/>
                <w:color w:val="auto"/>
              </w:rPr>
            </w:pPr>
            <w:r>
              <w:rPr>
                <w:rFonts w:ascii="Times New Roman" w:cs="Times New Roman" w:eastAsia="Times New Roman" w:hAnsi="Times New Roman"/>
                <w:sz w:val="18"/>
                <w:szCs w:val="18"/>
                <w:color w:val="auto"/>
              </w:rPr>
              <w:t>Operations Center</w:t>
            </w:r>
          </w:p>
        </w:tc>
      </w:tr>
      <w:tr>
        <w:trPr>
          <w:trHeight w:val="216"/>
        </w:trPr>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120" w:type="dxa"/>
            <w:vAlign w:val="bottom"/>
            <w:gridSpan w:val="3"/>
          </w:tcPr>
          <w:p>
            <w:pPr>
              <w:jc w:val="center"/>
              <w:ind w:right="1180"/>
              <w:spacing w:after="0"/>
              <w:rPr>
                <w:sz w:val="20"/>
                <w:szCs w:val="20"/>
                <w:color w:val="auto"/>
              </w:rPr>
            </w:pPr>
            <w:r>
              <w:rPr>
                <w:rFonts w:ascii="Times New Roman" w:cs="Times New Roman" w:eastAsia="Times New Roman" w:hAnsi="Times New Roman"/>
                <w:sz w:val="18"/>
                <w:szCs w:val="18"/>
                <w:color w:val="auto"/>
                <w:w w:val="99"/>
              </w:rPr>
              <w:t>1110 Centre Pointe Curve</w:t>
            </w:r>
          </w:p>
        </w:tc>
        <w:tc>
          <w:tcPr>
            <w:tcW w:w="3720" w:type="dxa"/>
            <w:vAlign w:val="bottom"/>
            <w:gridSpan w:val="3"/>
          </w:tcPr>
          <w:p>
            <w:pPr>
              <w:jc w:val="center"/>
              <w:ind w:left="530"/>
              <w:spacing w:after="0"/>
              <w:rPr>
                <w:sz w:val="20"/>
                <w:szCs w:val="20"/>
                <w:color w:val="auto"/>
              </w:rPr>
            </w:pPr>
            <w:r>
              <w:rPr>
                <w:rFonts w:ascii="Times New Roman" w:cs="Times New Roman" w:eastAsia="Times New Roman" w:hAnsi="Times New Roman"/>
                <w:sz w:val="18"/>
                <w:szCs w:val="18"/>
                <w:color w:val="auto"/>
              </w:rPr>
              <w:t>Attn: Onbase - Reorganization Department</w:t>
            </w:r>
          </w:p>
        </w:tc>
      </w:tr>
      <w:tr>
        <w:trPr>
          <w:trHeight w:val="216"/>
        </w:trPr>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120" w:type="dxa"/>
            <w:vAlign w:val="bottom"/>
            <w:gridSpan w:val="3"/>
          </w:tcPr>
          <w:p>
            <w:pPr>
              <w:jc w:val="center"/>
              <w:ind w:right="1220"/>
              <w:spacing w:after="0"/>
              <w:rPr>
                <w:sz w:val="20"/>
                <w:szCs w:val="20"/>
                <w:color w:val="auto"/>
              </w:rPr>
            </w:pPr>
            <w:r>
              <w:rPr>
                <w:rFonts w:ascii="Times New Roman" w:cs="Times New Roman" w:eastAsia="Times New Roman" w:hAnsi="Times New Roman"/>
                <w:sz w:val="18"/>
                <w:szCs w:val="18"/>
                <w:color w:val="auto"/>
                <w:w w:val="99"/>
              </w:rPr>
              <w:t>Suite # 101</w:t>
            </w:r>
          </w:p>
        </w:tc>
        <w:tc>
          <w:tcPr>
            <w:tcW w:w="3720" w:type="dxa"/>
            <w:vAlign w:val="bottom"/>
            <w:gridSpan w:val="3"/>
          </w:tcPr>
          <w:p>
            <w:pPr>
              <w:jc w:val="center"/>
              <w:ind w:left="530"/>
              <w:spacing w:after="0"/>
              <w:rPr>
                <w:sz w:val="20"/>
                <w:szCs w:val="20"/>
                <w:color w:val="auto"/>
              </w:rPr>
            </w:pPr>
            <w:r>
              <w:rPr>
                <w:rFonts w:ascii="Times New Roman" w:cs="Times New Roman" w:eastAsia="Times New Roman" w:hAnsi="Times New Roman"/>
                <w:sz w:val="18"/>
                <w:szCs w:val="18"/>
                <w:color w:val="auto"/>
                <w:w w:val="99"/>
              </w:rPr>
              <w:t>1110 Centre Pointe Curve</w:t>
            </w:r>
          </w:p>
        </w:tc>
      </w:tr>
      <w:tr>
        <w:trPr>
          <w:trHeight w:val="216"/>
        </w:trPr>
        <w:tc>
          <w:tcPr>
            <w:tcW w:w="200" w:type="dxa"/>
            <w:vAlign w:val="bottom"/>
          </w:tcPr>
          <w:p>
            <w:pPr>
              <w:spacing w:after="0"/>
              <w:rPr>
                <w:sz w:val="18"/>
                <w:szCs w:val="18"/>
                <w:color w:val="auto"/>
              </w:rPr>
            </w:pPr>
          </w:p>
        </w:tc>
        <w:tc>
          <w:tcPr>
            <w:tcW w:w="3500" w:type="dxa"/>
            <w:vAlign w:val="bottom"/>
            <w:gridSpan w:val="4"/>
          </w:tcPr>
          <w:p>
            <w:pPr>
              <w:jc w:val="center"/>
              <w:ind w:right="820"/>
              <w:spacing w:after="0"/>
              <w:rPr>
                <w:sz w:val="20"/>
                <w:szCs w:val="20"/>
                <w:color w:val="auto"/>
              </w:rPr>
            </w:pPr>
            <w:r>
              <w:rPr>
                <w:rFonts w:ascii="Times New Roman" w:cs="Times New Roman" w:eastAsia="Times New Roman" w:hAnsi="Times New Roman"/>
                <w:sz w:val="18"/>
                <w:szCs w:val="18"/>
                <w:color w:val="auto"/>
                <w:w w:val="99"/>
              </w:rPr>
              <w:t>Mendota Heights, MN 55120</w:t>
            </w:r>
          </w:p>
        </w:tc>
        <w:tc>
          <w:tcPr>
            <w:tcW w:w="3720" w:type="dxa"/>
            <w:vAlign w:val="bottom"/>
            <w:gridSpan w:val="3"/>
          </w:tcPr>
          <w:p>
            <w:pPr>
              <w:jc w:val="center"/>
              <w:ind w:left="490"/>
              <w:spacing w:after="0"/>
              <w:rPr>
                <w:sz w:val="20"/>
                <w:szCs w:val="20"/>
                <w:color w:val="auto"/>
              </w:rPr>
            </w:pPr>
            <w:r>
              <w:rPr>
                <w:rFonts w:ascii="Times New Roman" w:cs="Times New Roman" w:eastAsia="Times New Roman" w:hAnsi="Times New Roman"/>
                <w:sz w:val="18"/>
                <w:szCs w:val="18"/>
                <w:color w:val="auto"/>
                <w:w w:val="99"/>
              </w:rPr>
              <w:t>Suite # 101</w:t>
            </w:r>
          </w:p>
        </w:tc>
      </w:tr>
      <w:tr>
        <w:trPr>
          <w:trHeight w:val="234"/>
        </w:trPr>
        <w:tc>
          <w:tcPr>
            <w:tcW w:w="3700" w:type="dxa"/>
            <w:vAlign w:val="bottom"/>
            <w:gridSpan w:val="5"/>
          </w:tcPr>
          <w:p>
            <w:pPr>
              <w:jc w:val="center"/>
              <w:ind w:right="600"/>
              <w:spacing w:after="0"/>
              <w:rPr>
                <w:sz w:val="20"/>
                <w:szCs w:val="20"/>
                <w:color w:val="auto"/>
              </w:rPr>
            </w:pPr>
            <w:r>
              <w:rPr>
                <w:rFonts w:ascii="Times New Roman" w:cs="Times New Roman" w:eastAsia="Times New Roman" w:hAnsi="Times New Roman"/>
                <w:sz w:val="18"/>
                <w:szCs w:val="18"/>
                <w:color w:val="auto"/>
              </w:rPr>
              <w:t>Attn: Onbase - Reorganization Department</w:t>
            </w:r>
          </w:p>
        </w:tc>
        <w:tc>
          <w:tcPr>
            <w:tcW w:w="3720" w:type="dxa"/>
            <w:vAlign w:val="bottom"/>
            <w:gridSpan w:val="3"/>
          </w:tcPr>
          <w:p>
            <w:pPr>
              <w:jc w:val="center"/>
              <w:ind w:left="510"/>
              <w:spacing w:after="0"/>
              <w:rPr>
                <w:sz w:val="20"/>
                <w:szCs w:val="20"/>
                <w:color w:val="auto"/>
              </w:rPr>
            </w:pPr>
            <w:r>
              <w:rPr>
                <w:rFonts w:ascii="Times New Roman" w:cs="Times New Roman" w:eastAsia="Times New Roman" w:hAnsi="Times New Roman"/>
                <w:sz w:val="18"/>
                <w:szCs w:val="18"/>
                <w:color w:val="auto"/>
                <w:w w:val="99"/>
              </w:rPr>
              <w:t>Mendota Heights, MN 55120</w:t>
            </w:r>
          </w:p>
        </w:tc>
      </w:tr>
    </w:tbl>
    <w:p>
      <w:pPr>
        <w:spacing w:after="0" w:line="248" w:lineRule="exact"/>
        <w:rPr>
          <w:sz w:val="20"/>
          <w:szCs w:val="20"/>
          <w:color w:val="auto"/>
        </w:rPr>
      </w:pPr>
    </w:p>
    <w:p>
      <w:pPr>
        <w:jc w:val="center"/>
        <w:ind w:left="1780" w:right="40"/>
        <w:spacing w:after="0" w:line="286" w:lineRule="auto"/>
        <w:rPr>
          <w:sz w:val="20"/>
          <w:szCs w:val="20"/>
          <w:color w:val="auto"/>
        </w:rPr>
      </w:pPr>
      <w:r>
        <w:rPr>
          <w:rFonts w:ascii="Times New Roman" w:cs="Times New Roman" w:eastAsia="Times New Roman" w:hAnsi="Times New Roman"/>
          <w:sz w:val="18"/>
          <w:szCs w:val="18"/>
          <w:b w:val="1"/>
          <w:bCs w:val="1"/>
          <w:color w:val="auto"/>
        </w:rPr>
        <w:t>DELIVERY OF THIS LETTER OF TRANSMITTAL TO AN ADDRESS OTHER THAN AS SET FORTH ABOVE WILL NOT CONSTITUTE A VALID DELIVERY TO THE DEPOSITARY.</w:t>
      </w:r>
    </w:p>
    <w:p>
      <w:pPr>
        <w:spacing w:after="0" w:line="51" w:lineRule="exact"/>
        <w:rPr>
          <w:sz w:val="20"/>
          <w:szCs w:val="20"/>
          <w:color w:val="auto"/>
        </w:rPr>
      </w:pPr>
    </w:p>
    <w:p>
      <w:pPr>
        <w:ind w:left="300" w:right="359" w:firstLine="360"/>
        <w:spacing w:after="0" w:line="261" w:lineRule="auto"/>
        <w:rPr>
          <w:sz w:val="20"/>
          <w:szCs w:val="20"/>
          <w:color w:val="auto"/>
        </w:rPr>
      </w:pPr>
      <w:r>
        <w:rPr>
          <w:rFonts w:ascii="Times New Roman" w:cs="Times New Roman" w:eastAsia="Times New Roman" w:hAnsi="Times New Roman"/>
          <w:sz w:val="18"/>
          <w:szCs w:val="18"/>
          <w:color w:val="auto"/>
        </w:rPr>
        <w:t>Any questions or requests for assistance may be directed to the Information Agent at the telephone number and location listed below. Requests for additional copies of this Offer to Purchase and the Letter of Transmittal may be directed to the Information Agent at its telephone numbers and location listed below. You may also contact your broker, dealer, commercial bank or trust company or other nominee for assistance concerning the Offer.</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Information Agent for the Offer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1625600</wp:posOffset>
            </wp:positionH>
            <wp:positionV relativeFrom="paragraph">
              <wp:posOffset>155575</wp:posOffset>
            </wp:positionV>
            <wp:extent cx="2468880" cy="6172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3">
                      <a:extLst>
                        <a:ext uri="{28A0092B-C50C-407E-A947-70E740481C1C}"/>
                      </a:extLst>
                    </a:blip>
                    <a:srcRect/>
                    <a:stretch>
                      <a:fillRect/>
                    </a:stretch>
                  </pic:blipFill>
                  <pic:spPr bwMode="auto">
                    <a:xfrm>
                      <a:off x="0" y="0"/>
                      <a:ext cx="2468880"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154"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Innisfree M&amp;A Incorporated</w:t>
      </w:r>
    </w:p>
    <w:p>
      <w:pPr>
        <w:spacing w:after="0" w:line="3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500 Fifth Avenue, 21st Floor</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New York, NY 10110</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Stockholders may call:</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960" w:hanging="445"/>
        <w:spacing w:after="0"/>
        <w:tabs>
          <w:tab w:leader="none" w:pos="29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239-1760 (toll-free from the U.S. and Canada) or</w:t>
      </w:r>
    </w:p>
    <w:p>
      <w:pPr>
        <w:spacing w:after="0" w:line="9" w:lineRule="exact"/>
        <w:rPr>
          <w:rFonts w:ascii="Times New Roman" w:cs="Times New Roman" w:eastAsia="Times New Roman" w:hAnsi="Times New Roman"/>
          <w:sz w:val="18"/>
          <w:szCs w:val="18"/>
          <w:color w:val="auto"/>
        </w:rPr>
      </w:pPr>
    </w:p>
    <w:p>
      <w:pPr>
        <w:ind w:left="4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 (412) 232-3651 (from other countries)</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Banks and Brokers may call collect:</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(212) 750-5833</w:t>
      </w:r>
    </w:p>
    <w:p>
      <w:pPr>
        <w:sectPr>
          <w:pgSz w:w="11900" w:h="16838" w:orient="portrait"/>
          <w:cols w:equalWidth="0" w:num="1">
            <w:col w:w="9019"/>
          </w:cols>
          <w:pgMar w:left="1440" w:top="1012" w:right="1440" w:bottom="1440" w:gutter="0" w:footer="0" w:header="0"/>
        </w:sectPr>
      </w:pPr>
    </w:p>
    <w:bookmarkStart w:id="88" w:name="page89"/>
    <w:bookmarkEnd w:id="88"/>
    <w:p>
      <w:pPr>
        <w:jc w:val="right"/>
        <w:ind w:right="299"/>
        <w:spacing w:after="0"/>
        <w:rPr>
          <w:sz w:val="20"/>
          <w:szCs w:val="20"/>
          <w:color w:val="auto"/>
        </w:rPr>
      </w:pPr>
      <w:r>
        <w:rPr>
          <w:rFonts w:ascii="Times New Roman" w:cs="Times New Roman" w:eastAsia="Times New Roman" w:hAnsi="Times New Roman"/>
          <w:sz w:val="18"/>
          <w:szCs w:val="18"/>
          <w:b w:val="1"/>
          <w:bCs w:val="1"/>
          <w:color w:val="auto"/>
        </w:rPr>
        <w:t>Exhibit (a)(1)(C)</w:t>
      </w:r>
    </w:p>
    <w:p>
      <w:pPr>
        <w:spacing w:after="0" w:line="3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Notice of Guaranteed Delivery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Offer to Purchase</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All Outstanding Shares of Common Stock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PACIRA BIOSCIENCES, INC.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$36.50 per share, net in cash,</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the Offer to Purchase, dated October 30, 2026</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PEACH PURCHASER SUB INC.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wholly owned subsidiary of</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VIATRIS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183515</wp:posOffset>
            </wp:positionH>
            <wp:positionV relativeFrom="paragraph">
              <wp:posOffset>52070</wp:posOffset>
            </wp:positionV>
            <wp:extent cx="5353050" cy="8528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4">
                      <a:extLst>
                        <a:ext uri="{28A0092B-C50C-407E-A947-70E740481C1C}"/>
                      </a:extLst>
                    </a:blip>
                    <a:srcRect/>
                    <a:stretch>
                      <a:fillRect/>
                    </a:stretch>
                  </pic:blipFill>
                  <pic:spPr bwMode="auto">
                    <a:xfrm>
                      <a:off x="0" y="0"/>
                      <a:ext cx="5353050" cy="852805"/>
                    </a:xfrm>
                    <a:prstGeom prst="rect">
                      <a:avLst/>
                    </a:prstGeom>
                    <a:noFill/>
                  </pic:spPr>
                </pic:pic>
              </a:graphicData>
            </a:graphic>
          </wp:anchor>
        </w:drawing>
      </w:r>
    </w:p>
    <w:p>
      <w:pPr>
        <w:spacing w:after="0" w:line="16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b w:val="1"/>
          <w:bCs w:val="1"/>
          <w:color w:val="auto"/>
        </w:rPr>
        <w:t>THE OFFER AND WITHDRAWAL RIGHTS WILL EXPIRE AT THE END OF THE DAY,</w:t>
      </w:r>
    </w:p>
    <w:p>
      <w:pPr>
        <w:spacing w:after="0" w:line="3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EASTERN TIME, ON NOVEMBER 16, 2026 (ONE MINUTE AFTER 11:59 P.M., EASTERN TIME, ON</w:t>
      </w:r>
    </w:p>
    <w:p>
      <w:pPr>
        <w:spacing w:after="0" w:line="9"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NOVEMBER 16, 2026),</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8"/>
          <w:szCs w:val="18"/>
          <w:b w:val="1"/>
          <w:bCs w:val="1"/>
          <w:color w:val="auto"/>
        </w:rPr>
        <w:t>UNLESS THE OFFER IS EXTENDED OR EARLIER TERMINATED.</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to be used for signature guarantees)</w:t>
      </w:r>
    </w:p>
    <w:p>
      <w:pPr>
        <w:spacing w:after="0" w:line="1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This Notice of Guaranteed Delivery (this “Notice of Guaranteed Delivery”), or a substantially equivalent form, must</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be used to accept the Offer (as defined below) if (a) certificates representing shares of common stock, par value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$0.001 per share (the “Shares”), of Pacira BioSciences, Inc., a Delaware corporation, are not immediately available,</w:t>
      </w:r>
    </w:p>
    <w:p>
      <w:pPr>
        <w:spacing w:after="0" w:line="9" w:lineRule="exact"/>
        <w:rPr>
          <w:sz w:val="20"/>
          <w:szCs w:val="20"/>
          <w:color w:val="auto"/>
        </w:rPr>
      </w:pPr>
    </w:p>
    <w:p>
      <w:pPr>
        <w:ind w:left="540" w:hanging="248"/>
        <w:spacing w:after="0"/>
        <w:tabs>
          <w:tab w:leader="none" w:pos="5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 for book-entry transfer described in Section 3 of the Offer to Purchase, dated as of October 30,</w:t>
      </w:r>
    </w:p>
    <w:p>
      <w:pPr>
        <w:spacing w:after="0" w:line="9" w:lineRule="exact"/>
        <w:rPr>
          <w:rFonts w:ascii="Times New Roman" w:cs="Times New Roman" w:eastAsia="Times New Roman" w:hAnsi="Times New Roman"/>
          <w:sz w:val="18"/>
          <w:szCs w:val="18"/>
          <w:color w:val="auto"/>
        </w:rPr>
      </w:pPr>
    </w:p>
    <w:p>
      <w:pPr>
        <w:ind w:left="300" w:right="339"/>
        <w:spacing w:after="0" w:line="27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 xml:space="preserve">2026 (as it may be amended or supplemented from time to time, the “Offer to Purchase”), cannot be completed on a timely basis or (c) all required documents otherwise cannot be delivered to Equiniti Trust Company, LLC (the “Depositary”) prior to the Expiration Date (as defined in the Offer to Purchase). This form may be delivered by courier or transmitted by hand delivery, facsimile transmission or mail to the Depositary </w:t>
      </w:r>
      <w:r>
        <w:rPr>
          <w:rFonts w:ascii="Times New Roman" w:cs="Times New Roman" w:eastAsia="Times New Roman" w:hAnsi="Times New Roman"/>
          <w:sz w:val="17"/>
          <w:szCs w:val="17"/>
          <w:b w:val="1"/>
          <w:bCs w:val="1"/>
          <w:color w:val="auto"/>
        </w:rPr>
        <w:t>and must include 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guarantee by an Eligible Institution </w:t>
      </w:r>
      <w:r>
        <w:rPr>
          <w:rFonts w:ascii="Times New Roman" w:cs="Times New Roman" w:eastAsia="Times New Roman" w:hAnsi="Times New Roman"/>
          <w:sz w:val="17"/>
          <w:szCs w:val="17"/>
          <w:color w:val="auto"/>
        </w:rPr>
        <w:t>(as defined below) in the form set forth in this Notice of Guaranteed Delivery.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See Section 3 of the Offer to Purchase for more information regarding the guaranteed delivery procedures.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Depositary for the Offer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2620010</wp:posOffset>
            </wp:positionH>
            <wp:positionV relativeFrom="paragraph">
              <wp:posOffset>200025</wp:posOffset>
            </wp:positionV>
            <wp:extent cx="488950" cy="4889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5">
                      <a:extLst>
                        <a:ext uri="{28A0092B-C50C-407E-A947-70E740481C1C}"/>
                      </a:extLst>
                    </a:blip>
                    <a:srcRect/>
                    <a:stretch>
                      <a:fillRect/>
                    </a:stretch>
                  </pic:blipFill>
                  <pic:spPr bwMode="auto">
                    <a:xfrm>
                      <a:off x="0" y="0"/>
                      <a:ext cx="488950"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Equiniti Trust Company, LLC</w:t>
      </w:r>
    </w:p>
    <w:p>
      <w:pPr>
        <w:spacing w:after="0" w:line="264" w:lineRule="exact"/>
        <w:rPr>
          <w:sz w:val="20"/>
          <w:szCs w:val="20"/>
          <w:color w:val="auto"/>
        </w:rPr>
      </w:pPr>
    </w:p>
    <w:tbl>
      <w:tblPr>
        <w:tblLayout w:type="fixed"/>
        <w:tblInd w:w="440" w:type="dxa"/>
        <w:tblCellMar>
          <w:top w:w="0" w:type="dxa"/>
          <w:left w:w="0" w:type="dxa"/>
          <w:bottom w:w="0" w:type="dxa"/>
          <w:right w:w="0" w:type="dxa"/>
        </w:tblCellMar>
      </w:tblP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If delivering by hand, express mail, courier or other expedited</w:t>
            </w:r>
          </w:p>
        </w:tc>
        <w:tc>
          <w:tcPr>
            <w:tcW w:w="3360" w:type="dxa"/>
            <w:vAlign w:val="bottom"/>
          </w:tcPr>
          <w:p>
            <w:pPr>
              <w:jc w:val="center"/>
              <w:ind w:left="170"/>
              <w:spacing w:after="0"/>
              <w:rPr>
                <w:sz w:val="20"/>
                <w:szCs w:val="20"/>
                <w:color w:val="auto"/>
              </w:rPr>
            </w:pPr>
            <w:r>
              <w:rPr>
                <w:rFonts w:ascii="Times New Roman" w:cs="Times New Roman" w:eastAsia="Times New Roman" w:hAnsi="Times New Roman"/>
                <w:sz w:val="18"/>
                <w:szCs w:val="18"/>
                <w:i w:val="1"/>
                <w:iCs w:val="1"/>
                <w:color w:val="auto"/>
              </w:rPr>
              <w:t>If delivering by mail:</w:t>
            </w:r>
          </w:p>
        </w:tc>
      </w:tr>
      <w:tr>
        <w:trPr>
          <w:trHeight w:val="236"/>
        </w:trPr>
        <w:tc>
          <w:tcPr>
            <w:tcW w:w="4740" w:type="dxa"/>
            <w:vAlign w:val="bottom"/>
          </w:tcPr>
          <w:p>
            <w:pPr>
              <w:jc w:val="center"/>
              <w:ind w:right="190"/>
              <w:spacing w:after="0"/>
              <w:rPr>
                <w:sz w:val="20"/>
                <w:szCs w:val="20"/>
                <w:color w:val="auto"/>
              </w:rPr>
            </w:pPr>
            <w:r>
              <w:rPr>
                <w:rFonts w:ascii="Times New Roman" w:cs="Times New Roman" w:eastAsia="Times New Roman" w:hAnsi="Times New Roman"/>
                <w:sz w:val="18"/>
                <w:szCs w:val="18"/>
                <w:i w:val="1"/>
                <w:iCs w:val="1"/>
                <w:color w:val="auto"/>
              </w:rPr>
              <w:t>service:</w:t>
            </w:r>
          </w:p>
        </w:tc>
        <w:tc>
          <w:tcPr>
            <w:tcW w:w="3360" w:type="dxa"/>
            <w:vAlign w:val="bottom"/>
          </w:tcPr>
          <w:p>
            <w:pPr>
              <w:spacing w:after="0"/>
              <w:rPr>
                <w:sz w:val="20"/>
                <w:szCs w:val="20"/>
                <w:color w:val="auto"/>
              </w:rPr>
            </w:pPr>
          </w:p>
        </w:tc>
      </w:tr>
      <w:tr>
        <w:trPr>
          <w:trHeight w:val="225"/>
        </w:trPr>
        <w:tc>
          <w:tcPr>
            <w:tcW w:w="474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Equiniti Trust Company, LLC</w:t>
            </w:r>
          </w:p>
        </w:tc>
        <w:tc>
          <w:tcPr>
            <w:tcW w:w="336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Equiniti Trust Company, LLC</w:t>
            </w:r>
          </w:p>
        </w:tc>
      </w:tr>
      <w:tr>
        <w:trPr>
          <w:trHeight w:val="216"/>
        </w:trPr>
        <w:tc>
          <w:tcPr>
            <w:tcW w:w="47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Attn: Onbase - Reorganization Department</w:t>
            </w:r>
          </w:p>
        </w:tc>
        <w:tc>
          <w:tcPr>
            <w:tcW w:w="336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8"/>
              </w:rPr>
              <w:t>Operations Center</w:t>
            </w:r>
          </w:p>
        </w:tc>
      </w:tr>
      <w:tr>
        <w:trPr>
          <w:trHeight w:val="216"/>
        </w:trPr>
        <w:tc>
          <w:tcPr>
            <w:tcW w:w="474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1110 Centre Pointe Curve</w:t>
            </w:r>
          </w:p>
        </w:tc>
        <w:tc>
          <w:tcPr>
            <w:tcW w:w="336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Attn: Onbase - Reorganization Department</w:t>
            </w:r>
          </w:p>
        </w:tc>
      </w:tr>
      <w:tr>
        <w:trPr>
          <w:trHeight w:val="216"/>
        </w:trPr>
        <w:tc>
          <w:tcPr>
            <w:tcW w:w="474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Suite # 101</w:t>
            </w:r>
          </w:p>
        </w:tc>
        <w:tc>
          <w:tcPr>
            <w:tcW w:w="336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1110 Centre Pointe Curve</w:t>
            </w:r>
          </w:p>
        </w:tc>
      </w:tr>
      <w:tr>
        <w:trPr>
          <w:trHeight w:val="216"/>
        </w:trPr>
        <w:tc>
          <w:tcPr>
            <w:tcW w:w="474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Mendota Heights, MN 55120</w:t>
            </w:r>
          </w:p>
        </w:tc>
        <w:tc>
          <w:tcPr>
            <w:tcW w:w="336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Suite # 101</w:t>
            </w:r>
          </w:p>
        </w:tc>
      </w:tr>
      <w:tr>
        <w:trPr>
          <w:trHeight w:val="234"/>
        </w:trPr>
        <w:tc>
          <w:tcPr>
            <w:tcW w:w="4740" w:type="dxa"/>
            <w:vAlign w:val="bottom"/>
          </w:tcPr>
          <w:p>
            <w:pPr>
              <w:spacing w:after="0"/>
              <w:rPr>
                <w:sz w:val="20"/>
                <w:szCs w:val="20"/>
                <w:color w:val="auto"/>
              </w:rPr>
            </w:pPr>
          </w:p>
        </w:tc>
        <w:tc>
          <w:tcPr>
            <w:tcW w:w="336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Mendota Heights, MN 55120</w:t>
            </w:r>
          </w:p>
        </w:tc>
      </w:tr>
    </w:tbl>
    <w:p>
      <w:pPr>
        <w:spacing w:after="0" w:line="9" w:lineRule="exact"/>
        <w:rPr>
          <w:sz w:val="20"/>
          <w:szCs w:val="20"/>
          <w:color w:val="auto"/>
        </w:rPr>
      </w:pPr>
    </w:p>
    <w:p>
      <w:pPr>
        <w:ind w:left="300" w:right="359"/>
        <w:spacing w:after="0" w:line="266" w:lineRule="auto"/>
        <w:rPr>
          <w:sz w:val="20"/>
          <w:szCs w:val="20"/>
          <w:color w:val="auto"/>
        </w:rPr>
      </w:pPr>
      <w:r>
        <w:rPr>
          <w:rFonts w:ascii="Times New Roman" w:cs="Times New Roman" w:eastAsia="Times New Roman" w:hAnsi="Times New Roman"/>
          <w:sz w:val="18"/>
          <w:szCs w:val="18"/>
          <w:color w:val="auto"/>
        </w:rPr>
        <w:t>For information, call Innisfree M&amp;A Incorporated, the Information Agent, at: Stockholders may call: (866) 239-1760 (toll-free from the U.S. and Canada) or +1 (412) 232-3651 (from other countries). Banks and Brokers may call collect: (212) 750-5833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132080</wp:posOffset>
            </wp:positionV>
            <wp:extent cx="699516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89" w:name="page90"/>
    <w:bookmarkEnd w:id="89"/>
    <w:p>
      <w:pPr>
        <w:ind w:left="1300" w:right="1320"/>
        <w:spacing w:after="0" w:line="268" w:lineRule="auto"/>
        <w:rPr>
          <w:sz w:val="20"/>
          <w:szCs w:val="20"/>
          <w:color w:val="auto"/>
        </w:rPr>
      </w:pPr>
      <w:r>
        <w:rPr>
          <w:rFonts w:ascii="Times New Roman" w:cs="Times New Roman" w:eastAsia="Times New Roman" w:hAnsi="Times New Roman"/>
          <w:sz w:val="18"/>
          <w:szCs w:val="18"/>
          <w:b w:val="1"/>
          <w:bCs w:val="1"/>
          <w:color w:val="auto"/>
        </w:rPr>
        <w:t>Delivery of this Notice of Guaranteed Delivery to an address other than one set forth above or transmission of instructions via facsimile to a number other than the facsimile number set forth above does not constitute a valid delivery.</w:t>
      </w:r>
    </w:p>
    <w:p>
      <w:pPr>
        <w:spacing w:after="0" w:line="63" w:lineRule="exact"/>
        <w:rPr>
          <w:sz w:val="20"/>
          <w:szCs w:val="20"/>
          <w:color w:val="auto"/>
        </w:rPr>
      </w:pPr>
    </w:p>
    <w:p>
      <w:pPr>
        <w:ind w:left="1300" w:right="1480"/>
        <w:spacing w:after="0" w:line="262" w:lineRule="auto"/>
        <w:rPr>
          <w:sz w:val="20"/>
          <w:szCs w:val="20"/>
          <w:color w:val="auto"/>
        </w:rPr>
      </w:pPr>
      <w:r>
        <w:rPr>
          <w:rFonts w:ascii="Times New Roman" w:cs="Times New Roman" w:eastAsia="Times New Roman" w:hAnsi="Times New Roman"/>
          <w:sz w:val="18"/>
          <w:szCs w:val="18"/>
          <w:b w:val="1"/>
          <w:bCs w:val="1"/>
          <w:color w:val="auto"/>
        </w:rPr>
        <w:t>This Notice of Guaranteed Delivery is not to be used to guarantee signatures. If a signature on a Letter of Transmittal (as defined below) is required to be guaranteed by an Eligible Institution under the instructions to the Letter of Transmittal, the signature guarantee must appear in the applicable space provided in the signature box on the Letter of Transmittal.</w:t>
      </w:r>
    </w:p>
    <w:p>
      <w:pPr>
        <w:spacing w:after="0" w:line="3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The guarantee included on the following page must be completed.</w:t>
      </w:r>
    </w:p>
    <w:p>
      <w:pPr>
        <w:spacing w:after="0" w:line="22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b w:val="1"/>
          <w:bCs w:val="1"/>
          <w:color w:val="auto"/>
        </w:rPr>
        <w:t>Ladies and Gentlemen:</w:t>
      </w:r>
    </w:p>
    <w:p>
      <w:pPr>
        <w:spacing w:after="0" w:line="121" w:lineRule="exact"/>
        <w:rPr>
          <w:sz w:val="20"/>
          <w:szCs w:val="20"/>
          <w:color w:val="auto"/>
        </w:rPr>
      </w:pPr>
    </w:p>
    <w:p>
      <w:pPr>
        <w:ind w:left="1320" w:right="1340"/>
        <w:spacing w:after="0" w:line="256" w:lineRule="auto"/>
        <w:rPr>
          <w:sz w:val="20"/>
          <w:szCs w:val="20"/>
          <w:color w:val="auto"/>
        </w:rPr>
      </w:pPr>
      <w:r>
        <w:rPr>
          <w:rFonts w:ascii="Times New Roman" w:cs="Times New Roman" w:eastAsia="Times New Roman" w:hAnsi="Times New Roman"/>
          <w:sz w:val="18"/>
          <w:szCs w:val="18"/>
          <w:color w:val="auto"/>
        </w:rPr>
        <w:t>The undersigned represents that the undersigned owns and hereby tenders to Peach Purchaser Sub Inc., a Delaware corporation and a wholly owned subsidiary of Viatris Inc., a Delaware corporation, upon the terms and subject to the conditions set forth in the Offer to Purchase and in the related Letter of Transmittal (the “Letter of Transmittal” and, together with the Offer to Purchase and other related materials, as each may be amended or supplemented from time to time, the “Offer”), receipt of which is hereby acknowledged, the number of Shares set forth below, all pursuant to the guaranteed delivery procedures set forth in the Offer to Purchase.</w:t>
      </w:r>
    </w:p>
    <w:p>
      <w:pPr>
        <w:spacing w:after="0" w:line="200" w:lineRule="exact"/>
        <w:rPr>
          <w:sz w:val="20"/>
          <w:szCs w:val="20"/>
          <w:color w:val="auto"/>
        </w:rPr>
      </w:pPr>
    </w:p>
    <w:p>
      <w:pPr>
        <w:spacing w:after="0" w:line="20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Name(s) of Record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2654935</wp:posOffset>
            </wp:positionH>
            <wp:positionV relativeFrom="paragraph">
              <wp:posOffset>34290</wp:posOffset>
            </wp:positionV>
            <wp:extent cx="351472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7">
                      <a:extLst>
                        <a:ext uri="{28A0092B-C50C-407E-A947-70E740481C1C}"/>
                      </a:extLst>
                    </a:blip>
                    <a:srcRect/>
                    <a:stretch>
                      <a:fillRect/>
                    </a:stretch>
                  </pic:blipFill>
                  <pic:spPr bwMode="auto">
                    <a:xfrm>
                      <a:off x="0" y="0"/>
                      <a:ext cx="3514725" cy="8255"/>
                    </a:xfrm>
                    <a:prstGeom prst="rect">
                      <a:avLst/>
                    </a:prstGeom>
                    <a:noFill/>
                  </pic:spPr>
                </pic:pic>
              </a:graphicData>
            </a:graphic>
          </wp:anchor>
        </w:drawing>
      </w:r>
    </w:p>
    <w:p>
      <w:pPr>
        <w:spacing w:after="0" w:line="30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Number of Shares Tendered: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2654935</wp:posOffset>
            </wp:positionH>
            <wp:positionV relativeFrom="paragraph">
              <wp:posOffset>34290</wp:posOffset>
            </wp:positionV>
            <wp:extent cx="351472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8">
                      <a:extLst>
                        <a:ext uri="{28A0092B-C50C-407E-A947-70E740481C1C}"/>
                      </a:extLst>
                    </a:blip>
                    <a:srcRect/>
                    <a:stretch>
                      <a:fillRect/>
                    </a:stretch>
                  </pic:blipFill>
                  <pic:spPr bwMode="auto">
                    <a:xfrm>
                      <a:off x="0" y="0"/>
                      <a:ext cx="3514725" cy="8255"/>
                    </a:xfrm>
                    <a:prstGeom prst="rect">
                      <a:avLst/>
                    </a:prstGeom>
                    <a:noFill/>
                  </pic:spPr>
                </pic:pic>
              </a:graphicData>
            </a:graphic>
          </wp:anchor>
        </w:drawing>
      </w:r>
    </w:p>
    <w:p>
      <w:pPr>
        <w:spacing w:after="0" w:line="30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Certificate Number(s) (if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2654935</wp:posOffset>
            </wp:positionH>
            <wp:positionV relativeFrom="paragraph">
              <wp:posOffset>34290</wp:posOffset>
            </wp:positionV>
            <wp:extent cx="351472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9">
                      <a:extLst>
                        <a:ext uri="{28A0092B-C50C-407E-A947-70E740481C1C}"/>
                      </a:extLst>
                    </a:blip>
                    <a:srcRect/>
                    <a:stretch>
                      <a:fillRect/>
                    </a:stretch>
                  </pic:blipFill>
                  <pic:spPr bwMode="auto">
                    <a:xfrm>
                      <a:off x="0" y="0"/>
                      <a:ext cx="3514725" cy="8890"/>
                    </a:xfrm>
                    <a:prstGeom prst="rect">
                      <a:avLst/>
                    </a:prstGeom>
                    <a:noFill/>
                  </pic:spPr>
                </pic:pic>
              </a:graphicData>
            </a:graphic>
          </wp:anchor>
        </w:drawing>
      </w:r>
    </w:p>
    <w:p>
      <w:pPr>
        <w:spacing w:after="0" w:line="5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                                    (please print)</w:t>
      </w:r>
    </w:p>
    <w:p>
      <w:pPr>
        <w:spacing w:after="0" w:line="162" w:lineRule="exact"/>
        <w:rPr>
          <w:sz w:val="20"/>
          <w:szCs w:val="20"/>
          <w:color w:val="auto"/>
        </w:rPr>
      </w:pPr>
    </w:p>
    <w:tbl>
      <w:tblPr>
        <w:tblLayout w:type="fixed"/>
        <w:tblInd w:w="1300" w:type="dxa"/>
        <w:tblCellMar>
          <w:top w:w="0" w:type="dxa"/>
          <w:left w:w="0" w:type="dxa"/>
          <w:bottom w:w="0" w:type="dxa"/>
          <w:right w:w="0" w:type="dxa"/>
        </w:tblCellMar>
      </w:tblPr>
      <w:tr>
        <w:trPr>
          <w:trHeight w:val="207"/>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Address(es):  </w:t>
            </w:r>
          </w:p>
        </w:tc>
        <w:tc>
          <w:tcPr>
            <w:tcW w:w="280" w:type="dxa"/>
            <w:vAlign w:val="bottom"/>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260" w:type="dxa"/>
            <w:vAlign w:val="bottom"/>
          </w:tcPr>
          <w:p>
            <w:pPr>
              <w:ind w:left="120"/>
              <w:spacing w:after="0"/>
              <w:rPr>
                <w:sz w:val="20"/>
                <w:szCs w:val="20"/>
                <w:color w:val="auto"/>
              </w:rPr>
            </w:pPr>
            <w:r>
              <w:rPr>
                <w:rFonts w:ascii="Times New Roman" w:cs="Times New Roman" w:eastAsia="Times New Roman" w:hAnsi="Times New Roman"/>
                <w:sz w:val="17"/>
                <w:szCs w:val="17"/>
                <w:color w:val="auto"/>
                <w:w w:val="70"/>
              </w:rPr>
              <w:t> </w:t>
            </w:r>
          </w:p>
        </w:tc>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260" w:type="dxa"/>
            <w:vAlign w:val="bottom"/>
          </w:tcPr>
          <w:p>
            <w:pPr>
              <w:ind w:left="120"/>
              <w:spacing w:after="0"/>
              <w:rPr>
                <w:sz w:val="20"/>
                <w:szCs w:val="20"/>
                <w:color w:val="auto"/>
              </w:rPr>
            </w:pPr>
            <w:r>
              <w:rPr>
                <w:rFonts w:ascii="Times New Roman" w:cs="Times New Roman" w:eastAsia="Times New Roman" w:hAnsi="Times New Roman"/>
                <w:sz w:val="17"/>
                <w:szCs w:val="17"/>
                <w:color w:val="auto"/>
                <w:w w:val="70"/>
              </w:rPr>
              <w:t> </w:t>
            </w:r>
          </w:p>
        </w:tc>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260" w:type="dxa"/>
            <w:vAlign w:val="bottom"/>
          </w:tcPr>
          <w:p>
            <w:pPr>
              <w:ind w:left="120"/>
              <w:spacing w:after="0"/>
              <w:rPr>
                <w:sz w:val="20"/>
                <w:szCs w:val="20"/>
                <w:color w:val="auto"/>
              </w:rPr>
            </w:pPr>
            <w:r>
              <w:rPr>
                <w:rFonts w:ascii="Times New Roman" w:cs="Times New Roman" w:eastAsia="Times New Roman" w:hAnsi="Times New Roman"/>
                <w:sz w:val="17"/>
                <w:szCs w:val="17"/>
                <w:color w:val="auto"/>
                <w:w w:val="70"/>
              </w:rPr>
              <w:t> </w:t>
            </w:r>
          </w:p>
        </w:tc>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260" w:type="dxa"/>
            <w:vAlign w:val="bottom"/>
          </w:tcPr>
          <w:p>
            <w:pPr>
              <w:ind w:left="120"/>
              <w:spacing w:after="0"/>
              <w:rPr>
                <w:sz w:val="20"/>
                <w:szCs w:val="20"/>
                <w:color w:val="auto"/>
              </w:rPr>
            </w:pPr>
            <w:r>
              <w:rPr>
                <w:rFonts w:ascii="Times New Roman" w:cs="Times New Roman" w:eastAsia="Times New Roman" w:hAnsi="Times New Roman"/>
                <w:sz w:val="17"/>
                <w:szCs w:val="17"/>
                <w:color w:val="auto"/>
                <w:w w:val="70"/>
              </w:rPr>
              <w:t> </w:t>
            </w:r>
          </w:p>
        </w:tc>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260" w:type="dxa"/>
            <w:vAlign w:val="bottom"/>
          </w:tcPr>
          <w:p>
            <w:pPr>
              <w:ind w:left="120"/>
              <w:spacing w:after="0"/>
              <w:rPr>
                <w:sz w:val="20"/>
                <w:szCs w:val="20"/>
                <w:color w:val="auto"/>
              </w:rPr>
            </w:pPr>
            <w:r>
              <w:rPr>
                <w:rFonts w:ascii="Times New Roman" w:cs="Times New Roman" w:eastAsia="Times New Roman" w:hAnsi="Times New Roman"/>
                <w:sz w:val="17"/>
                <w:szCs w:val="17"/>
                <w:color w:val="auto"/>
                <w:w w:val="70"/>
              </w:rPr>
              <w:t> </w:t>
            </w:r>
          </w:p>
        </w:tc>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3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xml:space="preserve">   </w:t>
            </w:r>
          </w:p>
        </w:tc>
      </w:tr>
      <w:tr>
        <w:trPr>
          <w:trHeight w:val="358"/>
        </w:trPr>
        <w:tc>
          <w:tcPr>
            <w:tcW w:w="1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xml:space="preserve">    </w:t>
            </w:r>
          </w:p>
        </w:tc>
        <w:tc>
          <w:tcPr>
            <w:tcW w:w="60" w:type="dxa"/>
            <w:vAlign w:val="bottom"/>
            <w:tcBorders>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 </w:t>
            </w: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28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 </w:t>
            </w: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28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 </w:t>
            </w: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28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 </w:t>
            </w: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28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 </w:t>
            </w: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28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 </w:t>
            </w: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40" w:type="dxa"/>
            <w:vAlign w:val="bottom"/>
            <w:tcBorders>
              <w:top w:val="single" w:sz="8" w:color="auto"/>
            </w:tcBorders>
          </w:tcPr>
          <w:p>
            <w:pPr>
              <w:spacing w:after="0"/>
              <w:rPr>
                <w:sz w:val="24"/>
                <w:szCs w:val="24"/>
                <w:color w:val="auto"/>
              </w:rPr>
            </w:pPr>
          </w:p>
        </w:tc>
      </w:tr>
    </w:tbl>
    <w:p>
      <w:pPr>
        <w:spacing w:after="0" w:line="15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(Zip Code)</w:t>
      </w:r>
    </w:p>
    <w:p>
      <w:pPr>
        <w:spacing w:after="0" w:line="162" w:lineRule="exact"/>
        <w:rPr>
          <w:sz w:val="20"/>
          <w:szCs w:val="20"/>
          <w:color w:val="auto"/>
        </w:rPr>
      </w:pPr>
    </w:p>
    <w:p>
      <w:pPr>
        <w:ind w:left="1540" w:hanging="209"/>
        <w:spacing w:after="0"/>
        <w:tabs>
          <w:tab w:leader="none" w:pos="1540" w:val="left"/>
        </w:tabs>
        <w:numPr>
          <w:ilvl w:val="0"/>
          <w:numId w:val="8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Check if securities will be tendered by book-entry transfer Signature(s):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20" w:type="dxa"/>
            <w:vAlign w:val="bottom"/>
          </w:tcPr>
          <w:p>
            <w:pPr>
              <w:spacing w:after="0"/>
              <w:rPr>
                <w:sz w:val="18"/>
                <w:szCs w:val="18"/>
                <w:color w:val="auto"/>
              </w:rPr>
            </w:pPr>
          </w:p>
        </w:tc>
        <w:tc>
          <w:tcPr>
            <w:tcW w:w="2280" w:type="dxa"/>
            <w:vAlign w:val="bottom"/>
            <w:gridSpan w:val="12"/>
          </w:tcPr>
          <w:p>
            <w:pPr>
              <w:spacing w:after="0"/>
              <w:rPr>
                <w:sz w:val="20"/>
                <w:szCs w:val="20"/>
                <w:color w:val="auto"/>
              </w:rPr>
            </w:pPr>
            <w:r>
              <w:rPr>
                <w:rFonts w:ascii="Times New Roman" w:cs="Times New Roman" w:eastAsia="Times New Roman" w:hAnsi="Times New Roman"/>
                <w:sz w:val="18"/>
                <w:szCs w:val="18"/>
                <w:color w:val="auto"/>
                <w:w w:val="93"/>
              </w:rPr>
              <w:t>Name of Tendering Institution: </w:t>
            </w:r>
          </w:p>
        </w:tc>
        <w:tc>
          <w:tcPr>
            <w:tcW w:w="12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194"/>
        </w:trPr>
        <w:tc>
          <w:tcPr>
            <w:tcW w:w="1320" w:type="dxa"/>
            <w:vAlign w:val="bottom"/>
          </w:tcPr>
          <w:p>
            <w:pPr>
              <w:spacing w:after="0"/>
              <w:rPr>
                <w:sz w:val="16"/>
                <w:szCs w:val="16"/>
                <w:color w:val="auto"/>
              </w:rPr>
            </w:pPr>
          </w:p>
        </w:tc>
        <w:tc>
          <w:tcPr>
            <w:tcW w:w="540" w:type="dxa"/>
            <w:vAlign w:val="bottom"/>
            <w:tcBorders>
              <w:bottom w:val="single" w:sz="8" w:color="auto"/>
            </w:tcBorders>
          </w:tcPr>
          <w:p>
            <w:pPr>
              <w:spacing w:after="0" w:line="194" w:lineRule="exact"/>
              <w:rPr>
                <w:sz w:val="20"/>
                <w:szCs w:val="20"/>
                <w:color w:val="auto"/>
              </w:rPr>
            </w:pPr>
            <w:r>
              <w:rPr>
                <w:rFonts w:ascii="Times New Roman" w:cs="Times New Roman" w:eastAsia="Times New Roman" w:hAnsi="Times New Roman"/>
                <w:sz w:val="18"/>
                <w:szCs w:val="18"/>
                <w:color w:val="auto"/>
              </w:rPr>
              <w:t xml:space="preserve">       </w:t>
            </w:r>
          </w:p>
        </w:tc>
        <w:tc>
          <w:tcPr>
            <w:tcW w:w="300" w:type="dxa"/>
            <w:vAlign w:val="bottom"/>
            <w:tcBorders>
              <w:bottom w:val="single" w:sz="8" w:color="auto"/>
            </w:tcBorders>
          </w:tcPr>
          <w:p>
            <w:pPr>
              <w:spacing w:after="0" w:line="194" w:lineRule="exact"/>
              <w:rPr>
                <w:sz w:val="20"/>
                <w:szCs w:val="20"/>
                <w:color w:val="auto"/>
              </w:rPr>
            </w:pPr>
            <w:r>
              <w:rPr>
                <w:rFonts w:ascii="Times New Roman" w:cs="Times New Roman" w:eastAsia="Times New Roman" w:hAnsi="Times New Roman"/>
                <w:sz w:val="18"/>
                <w:szCs w:val="18"/>
                <w:color w:val="auto"/>
              </w:rPr>
              <w:t xml:space="preserve">    </w:t>
            </w:r>
          </w:p>
        </w:tc>
        <w:tc>
          <w:tcPr>
            <w:tcW w:w="1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260" w:type="dxa"/>
            <w:vAlign w:val="bottom"/>
            <w:tcBorders>
              <w:bottom w:val="single" w:sz="8" w:color="auto"/>
            </w:tcBorders>
          </w:tcPr>
          <w:p>
            <w:pPr>
              <w:ind w:left="80"/>
              <w:spacing w:after="0" w:line="194" w:lineRule="exact"/>
              <w:rPr>
                <w:sz w:val="20"/>
                <w:szCs w:val="20"/>
                <w:color w:val="auto"/>
              </w:rPr>
            </w:pPr>
            <w:r>
              <w:rPr>
                <w:rFonts w:ascii="Times New Roman" w:cs="Times New Roman" w:eastAsia="Times New Roman" w:hAnsi="Times New Roman"/>
                <w:sz w:val="18"/>
                <w:szCs w:val="18"/>
                <w:color w:val="auto"/>
                <w:w w:val="88"/>
              </w:rPr>
              <w:t> </w:t>
            </w:r>
          </w:p>
        </w:tc>
        <w:tc>
          <w:tcPr>
            <w:tcW w:w="240" w:type="dxa"/>
            <w:vAlign w:val="bottom"/>
            <w:tcBorders>
              <w:bottom w:val="single" w:sz="8" w:color="auto"/>
            </w:tcBorders>
            <w:gridSpan w:val="2"/>
          </w:tcPr>
          <w:p>
            <w:pPr>
              <w:spacing w:after="0" w:line="194" w:lineRule="exact"/>
              <w:rPr>
                <w:sz w:val="20"/>
                <w:szCs w:val="20"/>
                <w:color w:val="auto"/>
              </w:rPr>
            </w:pPr>
            <w:r>
              <w:rPr>
                <w:rFonts w:ascii="Times New Roman" w:cs="Times New Roman" w:eastAsia="Times New Roman" w:hAnsi="Times New Roman"/>
                <w:sz w:val="18"/>
                <w:szCs w:val="18"/>
                <w:color w:val="auto"/>
              </w:rPr>
              <w:t xml:space="preserve">    </w:t>
            </w:r>
          </w:p>
        </w:tc>
        <w:tc>
          <w:tcPr>
            <w:tcW w:w="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color w:val="auto"/>
                <w:w w:val="76"/>
              </w:rPr>
              <w:t> </w:t>
            </w:r>
          </w:p>
        </w:tc>
        <w:tc>
          <w:tcPr>
            <w:tcW w:w="300" w:type="dxa"/>
            <w:vAlign w:val="bottom"/>
            <w:tcBorders>
              <w:bottom w:val="single" w:sz="8" w:color="auto"/>
            </w:tcBorders>
            <w:gridSpan w:val="2"/>
          </w:tcPr>
          <w:p>
            <w:pPr>
              <w:jc w:val="center"/>
              <w:spacing w:after="0" w:line="194" w:lineRule="exact"/>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360" w:type="dxa"/>
            <w:vAlign w:val="bottom"/>
            <w:tcBorders>
              <w:bottom w:val="single" w:sz="8" w:color="auto"/>
            </w:tcBorders>
            <w:gridSpan w:val="2"/>
          </w:tcPr>
          <w:p>
            <w:pPr>
              <w:jc w:val="center"/>
              <w:ind w:left="48"/>
              <w:spacing w:after="0" w:line="194" w:lineRule="exact"/>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8"/>
                <w:szCs w:val="8"/>
                <w:color w:val="auto"/>
                <w:w w:val="74"/>
              </w:rPr>
              <w:t> </w:t>
            </w:r>
          </w:p>
        </w:tc>
        <w:tc>
          <w:tcPr>
            <w:tcW w:w="1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4"/>
                <w:szCs w:val="4"/>
                <w:color w:val="auto"/>
                <w:w w:val="98"/>
              </w:rPr>
              <w:t> </w:t>
            </w:r>
          </w:p>
        </w:tc>
        <w:tc>
          <w:tcPr>
            <w:tcW w:w="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8"/>
                <w:szCs w:val="8"/>
                <w:color w:val="auto"/>
                <w:w w:val="74"/>
              </w:rPr>
              <w:t> </w:t>
            </w:r>
          </w:p>
        </w:tc>
        <w:tc>
          <w:tcPr>
            <w:tcW w:w="280" w:type="dxa"/>
            <w:vAlign w:val="bottom"/>
            <w:tcBorders>
              <w:bottom w:val="single" w:sz="8" w:color="auto"/>
            </w:tcBorders>
            <w:gridSpan w:val="2"/>
          </w:tcPr>
          <w:p>
            <w:pPr>
              <w:jc w:val="center"/>
              <w:spacing w:after="0" w:line="194" w:lineRule="exact"/>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bottom w:val="single" w:sz="8" w:color="auto"/>
            </w:tcBorders>
          </w:tcPr>
          <w:p>
            <w:pPr>
              <w:ind w:left="40"/>
              <w:spacing w:after="0" w:line="194" w:lineRule="exact"/>
              <w:rPr>
                <w:sz w:val="20"/>
                <w:szCs w:val="20"/>
                <w:color w:val="auto"/>
              </w:rPr>
            </w:pPr>
            <w:r>
              <w:rPr>
                <w:rFonts w:ascii="Times New Roman" w:cs="Times New Roman" w:eastAsia="Times New Roman" w:hAnsi="Times New Roman"/>
                <w:sz w:val="17"/>
                <w:szCs w:val="17"/>
                <w:color w:val="auto"/>
                <w:w w:val="70"/>
              </w:rPr>
              <w:t> </w:t>
            </w:r>
          </w:p>
        </w:tc>
        <w:tc>
          <w:tcPr>
            <w:tcW w:w="2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1"/>
                <w:szCs w:val="11"/>
                <w:color w:val="auto"/>
                <w:w w:val="72"/>
              </w:rPr>
              <w:t> </w:t>
            </w: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line="194" w:lineRule="exact"/>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326"/>
        </w:trPr>
        <w:tc>
          <w:tcPr>
            <w:tcW w:w="1320" w:type="dxa"/>
            <w:vAlign w:val="bottom"/>
          </w:tcPr>
          <w:p>
            <w:pPr>
              <w:spacing w:after="0"/>
              <w:rPr>
                <w:sz w:val="24"/>
                <w:szCs w:val="24"/>
                <w:color w:val="auto"/>
              </w:rPr>
            </w:pPr>
          </w:p>
        </w:tc>
        <w:tc>
          <w:tcPr>
            <w:tcW w:w="2580" w:type="dxa"/>
            <w:vAlign w:val="bottom"/>
            <w:gridSpan w:val="14"/>
          </w:tcPr>
          <w:p>
            <w:pPr>
              <w:spacing w:after="0"/>
              <w:rPr>
                <w:sz w:val="20"/>
                <w:szCs w:val="20"/>
                <w:color w:val="auto"/>
              </w:rPr>
            </w:pPr>
            <w:r>
              <w:rPr>
                <w:rFonts w:ascii="Times New Roman" w:cs="Times New Roman" w:eastAsia="Times New Roman" w:hAnsi="Times New Roman"/>
                <w:sz w:val="18"/>
                <w:szCs w:val="18"/>
                <w:color w:val="auto"/>
                <w:w w:val="97"/>
              </w:rPr>
              <w:t>Area Code and Telephone No.(s): 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94"/>
        </w:trPr>
        <w:tc>
          <w:tcPr>
            <w:tcW w:w="1320" w:type="dxa"/>
            <w:vAlign w:val="bottom"/>
          </w:tcPr>
          <w:p>
            <w:pPr>
              <w:spacing w:after="0"/>
              <w:rPr>
                <w:sz w:val="16"/>
                <w:szCs w:val="16"/>
                <w:color w:val="auto"/>
              </w:rPr>
            </w:pPr>
          </w:p>
        </w:tc>
        <w:tc>
          <w:tcPr>
            <w:tcW w:w="1700" w:type="dxa"/>
            <w:vAlign w:val="bottom"/>
            <w:tcBorders>
              <w:bottom w:val="single" w:sz="8" w:color="auto"/>
            </w:tcBorders>
            <w:gridSpan w:val="7"/>
          </w:tcPr>
          <w:p>
            <w:pPr>
              <w:spacing w:after="0" w:line="194" w:lineRule="exact"/>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color w:val="auto"/>
                <w:w w:val="76"/>
              </w:rPr>
              <w:t> </w:t>
            </w:r>
          </w:p>
        </w:tc>
        <w:tc>
          <w:tcPr>
            <w:tcW w:w="300" w:type="dxa"/>
            <w:vAlign w:val="bottom"/>
            <w:tcBorders>
              <w:bottom w:val="single" w:sz="8" w:color="auto"/>
            </w:tcBorders>
            <w:gridSpan w:val="2"/>
          </w:tcPr>
          <w:p>
            <w:pPr>
              <w:jc w:val="center"/>
              <w:spacing w:after="0" w:line="194" w:lineRule="exact"/>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360" w:type="dxa"/>
            <w:vAlign w:val="bottom"/>
            <w:tcBorders>
              <w:bottom w:val="single" w:sz="8" w:color="auto"/>
            </w:tcBorders>
            <w:gridSpan w:val="2"/>
          </w:tcPr>
          <w:p>
            <w:pPr>
              <w:jc w:val="center"/>
              <w:ind w:left="48"/>
              <w:spacing w:after="0" w:line="194" w:lineRule="exact"/>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8"/>
                <w:szCs w:val="8"/>
                <w:color w:val="auto"/>
                <w:w w:val="74"/>
              </w:rPr>
              <w:t> </w:t>
            </w:r>
          </w:p>
        </w:tc>
        <w:tc>
          <w:tcPr>
            <w:tcW w:w="1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4"/>
                <w:szCs w:val="4"/>
                <w:color w:val="auto"/>
                <w:w w:val="98"/>
              </w:rPr>
              <w:t> </w:t>
            </w:r>
          </w:p>
        </w:tc>
        <w:tc>
          <w:tcPr>
            <w:tcW w:w="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8"/>
                <w:szCs w:val="8"/>
                <w:color w:val="auto"/>
                <w:w w:val="74"/>
              </w:rPr>
              <w:t> </w:t>
            </w:r>
          </w:p>
        </w:tc>
        <w:tc>
          <w:tcPr>
            <w:tcW w:w="280" w:type="dxa"/>
            <w:vAlign w:val="bottom"/>
            <w:tcBorders>
              <w:bottom w:val="single" w:sz="8" w:color="auto"/>
            </w:tcBorders>
            <w:gridSpan w:val="2"/>
          </w:tcPr>
          <w:p>
            <w:pPr>
              <w:jc w:val="center"/>
              <w:spacing w:after="0" w:line="194" w:lineRule="exact"/>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bottom w:val="single" w:sz="8" w:color="auto"/>
            </w:tcBorders>
          </w:tcPr>
          <w:p>
            <w:pPr>
              <w:ind w:left="40"/>
              <w:spacing w:after="0" w:line="194" w:lineRule="exact"/>
              <w:rPr>
                <w:sz w:val="20"/>
                <w:szCs w:val="20"/>
                <w:color w:val="auto"/>
              </w:rPr>
            </w:pPr>
            <w:r>
              <w:rPr>
                <w:rFonts w:ascii="Times New Roman" w:cs="Times New Roman" w:eastAsia="Times New Roman" w:hAnsi="Times New Roman"/>
                <w:sz w:val="17"/>
                <w:szCs w:val="17"/>
                <w:color w:val="auto"/>
                <w:w w:val="70"/>
              </w:rPr>
              <w:t> </w:t>
            </w:r>
          </w:p>
        </w:tc>
        <w:tc>
          <w:tcPr>
            <w:tcW w:w="2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1"/>
                <w:szCs w:val="11"/>
                <w:color w:val="auto"/>
                <w:w w:val="72"/>
              </w:rPr>
              <w:t> </w:t>
            </w:r>
          </w:p>
        </w:tc>
        <w:tc>
          <w:tcPr>
            <w:tcW w:w="2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358"/>
        </w:trPr>
        <w:tc>
          <w:tcPr>
            <w:tcW w:w="1320" w:type="dxa"/>
            <w:vAlign w:val="bottom"/>
          </w:tcPr>
          <w:p>
            <w:pPr>
              <w:spacing w:after="0"/>
              <w:rPr>
                <w:sz w:val="24"/>
                <w:szCs w:val="24"/>
                <w:color w:val="auto"/>
              </w:rPr>
            </w:pPr>
          </w:p>
        </w:tc>
        <w:tc>
          <w:tcPr>
            <w:tcW w:w="100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88"/>
              </w:rPr>
              <w:t>Signature(s): </w:t>
            </w:r>
          </w:p>
        </w:tc>
        <w:tc>
          <w:tcPr>
            <w:tcW w:w="260" w:type="dxa"/>
            <w:vAlign w:val="bottom"/>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79"/>
              </w:rPr>
              <w:t xml:space="preserve">  </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jc w:val="center"/>
              <w:ind w:left="73"/>
              <w:spacing w:after="0"/>
              <w:rPr>
                <w:sz w:val="20"/>
                <w:szCs w:val="20"/>
                <w:color w:val="auto"/>
              </w:rPr>
            </w:pPr>
            <w:r>
              <w:rPr>
                <w:rFonts w:ascii="Times New Roman" w:cs="Times New Roman" w:eastAsia="Times New Roman" w:hAnsi="Times New Roman"/>
                <w:sz w:val="4"/>
                <w:szCs w:val="4"/>
                <w:color w:val="auto"/>
                <w:w w:val="98"/>
              </w:rPr>
              <w:t> </w:t>
            </w:r>
          </w:p>
        </w:tc>
        <w:tc>
          <w:tcPr>
            <w:tcW w:w="120" w:type="dxa"/>
            <w:vAlign w:val="bottom"/>
          </w:tcPr>
          <w:p>
            <w:pPr>
              <w:spacing w:after="0"/>
              <w:rPr>
                <w:sz w:val="24"/>
                <w:szCs w:val="24"/>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6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70"/>
              </w:rPr>
              <w:t> </w:t>
            </w:r>
          </w:p>
        </w:tc>
        <w:tc>
          <w:tcPr>
            <w:tcW w:w="200" w:type="dxa"/>
            <w:vAlign w:val="bottom"/>
          </w:tcPr>
          <w:p>
            <w:pPr>
              <w:jc w:val="center"/>
              <w:ind w:right="8"/>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xml:space="preserve">    </w:t>
            </w:r>
          </w:p>
        </w:tc>
        <w:tc>
          <w:tcPr>
            <w:tcW w:w="120" w:type="dxa"/>
            <w:vAlign w:val="bottom"/>
          </w:tcPr>
          <w:p>
            <w:pPr>
              <w:spacing w:after="0"/>
              <w:rPr>
                <w:sz w:val="24"/>
                <w:szCs w:val="24"/>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xml:space="preserve">    </w:t>
            </w:r>
          </w:p>
        </w:tc>
        <w:tc>
          <w:tcPr>
            <w:tcW w:w="100" w:type="dxa"/>
            <w:vAlign w:val="bottom"/>
          </w:tcPr>
          <w:p>
            <w:pPr>
              <w:spacing w:after="0"/>
              <w:rPr>
                <w:sz w:val="24"/>
                <w:szCs w:val="24"/>
                <w:color w:val="auto"/>
              </w:rPr>
            </w:pPr>
          </w:p>
        </w:tc>
        <w:tc>
          <w:tcPr>
            <w:tcW w:w="180" w:type="dxa"/>
            <w:vAlign w:val="bottom"/>
          </w:tcPr>
          <w:p>
            <w:pPr>
              <w:jc w:val="center"/>
              <w:ind w:right="61"/>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7"/>
              </w:rPr>
              <w:t> </w:t>
            </w:r>
          </w:p>
        </w:tc>
        <w:tc>
          <w:tcPr>
            <w:tcW w:w="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6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 xml:space="preserve">   </w:t>
            </w:r>
          </w:p>
        </w:tc>
      </w:tr>
      <w:tr>
        <w:trPr>
          <w:trHeight w:val="20"/>
        </w:trPr>
        <w:tc>
          <w:tcPr>
            <w:tcW w:w="1320" w:type="dxa"/>
            <w:vAlign w:val="bottom"/>
          </w:tcPr>
          <w:p>
            <w:pPr>
              <w:spacing w:after="0" w:line="20" w:lineRule="exact"/>
              <w:rPr>
                <w:sz w:val="1"/>
                <w:szCs w:val="1"/>
                <w:color w:val="auto"/>
              </w:rPr>
            </w:pPr>
          </w:p>
        </w:tc>
        <w:tc>
          <w:tcPr>
            <w:tcW w:w="1340" w:type="dxa"/>
            <w:vAlign w:val="bottom"/>
            <w:gridSpan w:val="5"/>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gridSpan w:val="3"/>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345"/>
        </w:trPr>
        <w:tc>
          <w:tcPr>
            <w:tcW w:w="1320" w:type="dxa"/>
            <w:vAlign w:val="bottom"/>
          </w:tcPr>
          <w:p>
            <w:pPr>
              <w:spacing w:after="0"/>
              <w:rPr>
                <w:sz w:val="24"/>
                <w:szCs w:val="24"/>
                <w:color w:val="auto"/>
              </w:rPr>
            </w:pPr>
          </w:p>
        </w:tc>
        <w:tc>
          <w:tcPr>
            <w:tcW w:w="1700" w:type="dxa"/>
            <w:vAlign w:val="bottom"/>
            <w:gridSpan w:val="7"/>
          </w:tcPr>
          <w:p>
            <w:pPr>
              <w:spacing w:after="0"/>
              <w:rPr>
                <w:sz w:val="20"/>
                <w:szCs w:val="20"/>
                <w:color w:val="auto"/>
              </w:rPr>
            </w:pPr>
            <w:r>
              <w:rPr>
                <w:rFonts w:ascii="Times New Roman" w:cs="Times New Roman" w:eastAsia="Times New Roman" w:hAnsi="Times New Roman"/>
                <w:sz w:val="18"/>
                <w:szCs w:val="18"/>
                <w:color w:val="auto"/>
                <w:w w:val="97"/>
              </w:rPr>
              <w:t>DTC Participant No.: 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2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w w:val="70"/>
              </w:rPr>
              <w:t xml:space="preserve">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20" w:type="dxa"/>
            <w:vAlign w:val="bottom"/>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60" w:type="dxa"/>
            <w:vAlign w:val="bottom"/>
          </w:tcPr>
          <w:p>
            <w:pPr>
              <w:ind w:left="100"/>
              <w:spacing w:after="0"/>
              <w:rPr>
                <w:sz w:val="20"/>
                <w:szCs w:val="20"/>
                <w:color w:val="auto"/>
              </w:rPr>
            </w:pPr>
            <w:r>
              <w:rPr>
                <w:rFonts w:ascii="Times New Roman" w:cs="Times New Roman" w:eastAsia="Times New Roman" w:hAnsi="Times New Roman"/>
                <w:sz w:val="4"/>
                <w:szCs w:val="4"/>
                <w:color w:val="auto"/>
                <w:w w:val="98"/>
              </w:rPr>
              <w:t> </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240" w:type="dxa"/>
            <w:vAlign w:val="bottom"/>
          </w:tcPr>
          <w:p>
            <w:pPr>
              <w:ind w:left="100"/>
              <w:spacing w:after="0"/>
              <w:rPr>
                <w:sz w:val="20"/>
                <w:szCs w:val="20"/>
                <w:color w:val="auto"/>
              </w:rPr>
            </w:pPr>
            <w:r>
              <w:rPr>
                <w:rFonts w:ascii="Times New Roman" w:cs="Times New Roman" w:eastAsia="Times New Roman" w:hAnsi="Times New Roman"/>
                <w:sz w:val="17"/>
                <w:szCs w:val="17"/>
                <w:color w:val="auto"/>
                <w:w w:val="70"/>
              </w:rPr>
              <w:t> </w:t>
            </w:r>
          </w:p>
        </w:tc>
        <w:tc>
          <w:tcPr>
            <w:tcW w:w="120" w:type="dxa"/>
            <w:vAlign w:val="bottom"/>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60" w:type="dxa"/>
            <w:vAlign w:val="bottom"/>
          </w:tcPr>
          <w:p>
            <w:pPr>
              <w:spacing w:after="0"/>
              <w:rPr>
                <w:sz w:val="24"/>
                <w:szCs w:val="24"/>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26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77"/>
              </w:rPr>
              <w:t> </w:t>
            </w:r>
          </w:p>
        </w:tc>
        <w:tc>
          <w:tcPr>
            <w:tcW w:w="100" w:type="dxa"/>
            <w:vAlign w:val="bottom"/>
          </w:tcPr>
          <w:p>
            <w:pPr>
              <w:ind w:left="2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26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   </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6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w:t>
            </w:r>
          </w:p>
        </w:tc>
      </w:tr>
      <w:tr>
        <w:trPr>
          <w:trHeight w:val="344"/>
        </w:trPr>
        <w:tc>
          <w:tcPr>
            <w:tcW w:w="1320" w:type="dxa"/>
            <w:vAlign w:val="bottom"/>
          </w:tcPr>
          <w:p>
            <w:pPr>
              <w:spacing w:after="0"/>
              <w:rPr>
                <w:sz w:val="24"/>
                <w:szCs w:val="24"/>
                <w:color w:val="auto"/>
              </w:rPr>
            </w:pPr>
          </w:p>
        </w:tc>
        <w:tc>
          <w:tcPr>
            <w:tcW w:w="1700" w:type="dxa"/>
            <w:vAlign w:val="bottom"/>
            <w:gridSpan w:val="7"/>
          </w:tcPr>
          <w:p>
            <w:pPr>
              <w:spacing w:after="0"/>
              <w:rPr>
                <w:sz w:val="20"/>
                <w:szCs w:val="20"/>
                <w:color w:val="auto"/>
              </w:rPr>
            </w:pPr>
            <w:r>
              <w:rPr>
                <w:rFonts w:ascii="Times New Roman" w:cs="Times New Roman" w:eastAsia="Times New Roman" w:hAnsi="Times New Roman"/>
                <w:sz w:val="18"/>
                <w:szCs w:val="18"/>
                <w:color w:val="auto"/>
                <w:w w:val="92"/>
              </w:rPr>
              <w:t>Transaction Code No.: 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80" w:type="dxa"/>
            <w:vAlign w:val="bottom"/>
          </w:tcPr>
          <w:p>
            <w:pPr>
              <w:spacing w:after="0"/>
              <w:rPr>
                <w:sz w:val="24"/>
                <w:szCs w:val="24"/>
                <w:color w:val="auto"/>
              </w:rPr>
            </w:pPr>
          </w:p>
        </w:tc>
        <w:tc>
          <w:tcPr>
            <w:tcW w:w="14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9"/>
                <w:szCs w:val="9"/>
                <w:color w:val="auto"/>
                <w:w w:val="70"/>
              </w:rPr>
              <w:t xml:space="preserve">  </w:t>
            </w:r>
          </w:p>
        </w:tc>
        <w:tc>
          <w:tcPr>
            <w:tcW w:w="1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 </w:t>
            </w: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77"/>
              </w:rPr>
              <w:t> </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24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w w:val="70"/>
              </w:rPr>
              <w:t> </w:t>
            </w:r>
          </w:p>
        </w:tc>
        <w:tc>
          <w:tcPr>
            <w:tcW w:w="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w w:val="72"/>
              </w:rPr>
              <w:t> </w:t>
            </w:r>
          </w:p>
        </w:tc>
        <w:tc>
          <w:tcPr>
            <w:tcW w:w="26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88"/>
              </w:rPr>
              <w:t> </w:t>
            </w: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6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 </w:t>
            </w:r>
          </w:p>
        </w:tc>
        <w:tc>
          <w:tcPr>
            <w:tcW w:w="20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9"/>
                <w:szCs w:val="9"/>
                <w:color w:val="auto"/>
                <w:w w:val="73"/>
              </w:rPr>
              <w:t>  </w:t>
            </w:r>
          </w:p>
        </w:tc>
        <w:tc>
          <w:tcPr>
            <w:tcW w:w="2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w w:val="73"/>
              </w:rPr>
              <w:t>  </w:t>
            </w:r>
          </w:p>
        </w:tc>
        <w:tc>
          <w:tcPr>
            <w:tcW w:w="1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26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w w:val="99"/>
              </w:rPr>
              <w:t> </w:t>
            </w:r>
          </w:p>
        </w:tc>
        <w:tc>
          <w:tcPr>
            <w:tcW w:w="1340" w:type="dxa"/>
            <w:vAlign w:val="bottom"/>
          </w:tcPr>
          <w:p>
            <w:pPr>
              <w:spacing w:after="0"/>
              <w:rPr>
                <w:sz w:val="24"/>
                <w:szCs w:val="24"/>
                <w:color w:val="auto"/>
              </w:rPr>
            </w:pPr>
          </w:p>
        </w:tc>
      </w:tr>
      <w:tr>
        <w:trPr>
          <w:trHeight w:val="358"/>
        </w:trPr>
        <w:tc>
          <w:tcPr>
            <w:tcW w:w="1320" w:type="dxa"/>
            <w:vAlign w:val="bottom"/>
          </w:tcPr>
          <w:p>
            <w:pPr>
              <w:spacing w:after="0"/>
              <w:rPr>
                <w:sz w:val="24"/>
                <w:szCs w:val="24"/>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w w:val="78"/>
              </w:rPr>
              <w:t>Dated: </w:t>
            </w:r>
          </w:p>
        </w:tc>
        <w:tc>
          <w:tcPr>
            <w:tcW w:w="3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88"/>
              </w:rPr>
              <w:t> </w:t>
            </w: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77"/>
              </w:rPr>
              <w:t> </w:t>
            </w:r>
          </w:p>
        </w:tc>
        <w:tc>
          <w:tcPr>
            <w:tcW w:w="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xml:space="preserve">    </w:t>
            </w: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w w:val="76"/>
              </w:rPr>
              <w:t> </w:t>
            </w:r>
          </w:p>
        </w:tc>
        <w:tc>
          <w:tcPr>
            <w:tcW w:w="2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3"/>
                <w:szCs w:val="13"/>
                <w:color w:val="auto"/>
                <w:w w:val="76"/>
              </w:rPr>
              <w:t> </w:t>
            </w:r>
          </w:p>
        </w:tc>
        <w:tc>
          <w:tcPr>
            <w:tcW w:w="6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 </w:t>
            </w: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6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6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37"/>
        </w:trPr>
        <w:tc>
          <w:tcPr>
            <w:tcW w:w="1320" w:type="dxa"/>
            <w:vAlign w:val="bottom"/>
          </w:tcPr>
          <w:p>
            <w:pPr>
              <w:spacing w:after="0"/>
              <w:rPr>
                <w:sz w:val="20"/>
                <w:szCs w:val="20"/>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182"/>
        </w:trPr>
        <w:tc>
          <w:tcPr>
            <w:tcW w:w="13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39" w:right="439" w:bottom="1440" w:gutter="0" w:footer="0" w:header="0"/>
        </w:sectPr>
      </w:pPr>
    </w:p>
    <w:bookmarkStart w:id="90" w:name="page91"/>
    <w:bookmarkEnd w:id="9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GUARANTEE</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to be used for signature guarantee)</w:t>
      </w:r>
    </w:p>
    <w:p>
      <w:pPr>
        <w:spacing w:after="0" w:line="99" w:lineRule="exact"/>
        <w:rPr>
          <w:sz w:val="20"/>
          <w:szCs w:val="20"/>
          <w:color w:val="auto"/>
        </w:rPr>
      </w:pPr>
    </w:p>
    <w:p>
      <w:pPr>
        <w:ind w:left="320" w:right="339"/>
        <w:spacing w:after="0" w:line="253" w:lineRule="auto"/>
        <w:rPr>
          <w:sz w:val="20"/>
          <w:szCs w:val="20"/>
          <w:color w:val="auto"/>
        </w:rPr>
      </w:pPr>
      <w:r>
        <w:rPr>
          <w:rFonts w:ascii="Times New Roman" w:cs="Times New Roman" w:eastAsia="Times New Roman" w:hAnsi="Times New Roman"/>
          <w:sz w:val="18"/>
          <w:szCs w:val="18"/>
          <w:color w:val="auto"/>
        </w:rPr>
        <w:t>The undersigned, a financial institution that is a participant in the Security Transfer Agent Medallion Program, or any other “eligible guarantor institution,” as such term is defined in Rule 17Ad-15 under the Securities Exchange Act of 1934, as amended (each, an “Eligible Institution” and, collectively, “Eligible Institutions”), hereby guarantees the delivery to the Depositary of either the certificates representing the Shares tendered hereby, in proper form for transfer, or to deliver Shares pursuant to the procedure for book-entry transfer into the Depositary’s account at The Depository Trust Company (pursuant to the procedures set forth in the Offer to Purchase), in any such case together with a properly completed and duly executed Letter of Transmittal (or a manually executed facsimile thereof), with any required signature guarantees or an Agent’s Message (as defined in the Offer to Purchase), and any other documents required by the Letter of Transmittal, all within one trading day after the date of execution of this Notice of Guaranteed Delivery.</w:t>
      </w:r>
    </w:p>
    <w:p>
      <w:pPr>
        <w:spacing w:after="0" w:line="86" w:lineRule="exact"/>
        <w:rPr>
          <w:sz w:val="20"/>
          <w:szCs w:val="20"/>
          <w:color w:val="auto"/>
        </w:rPr>
      </w:pPr>
    </w:p>
    <w:p>
      <w:pPr>
        <w:ind w:left="320" w:right="699"/>
        <w:spacing w:after="0" w:line="261" w:lineRule="auto"/>
        <w:rPr>
          <w:sz w:val="20"/>
          <w:szCs w:val="20"/>
          <w:color w:val="auto"/>
        </w:rPr>
      </w:pPr>
      <w:r>
        <w:rPr>
          <w:rFonts w:ascii="Times New Roman" w:cs="Times New Roman" w:eastAsia="Times New Roman" w:hAnsi="Times New Roman"/>
          <w:sz w:val="18"/>
          <w:szCs w:val="18"/>
          <w:color w:val="auto"/>
        </w:rPr>
        <w:t>The Eligible Institution that completes this form must communicate the guarantee to the Depositary and must deliver the properly completed and duly executed Letter of Transmittal, certificates for Shares and/or any other required documents to the Depositary within the time period shown herein. Failure to do so could result in a financial loss to such Eligible Institution.</w:t>
      </w:r>
    </w:p>
    <w:p>
      <w:pPr>
        <w:spacing w:after="0" w:line="99" w:lineRule="exact"/>
        <w:rPr>
          <w:sz w:val="20"/>
          <w:szCs w:val="20"/>
          <w:color w:val="auto"/>
        </w:rPr>
      </w:pPr>
    </w:p>
    <w:tbl>
      <w:tblPr>
        <w:tblLayout w:type="fixed"/>
        <w:tblInd w:w="300" w:type="dxa"/>
        <w:tblCellMar>
          <w:top w:w="0" w:type="dxa"/>
          <w:left w:w="0" w:type="dxa"/>
          <w:bottom w:w="0" w:type="dxa"/>
          <w:right w:w="0" w:type="dxa"/>
        </w:tblCellMar>
      </w:tblPr>
      <w:tr>
        <w:trPr>
          <w:trHeight w:val="207"/>
        </w:trPr>
        <w:tc>
          <w:tcPr>
            <w:tcW w:w="1220" w:type="dxa"/>
            <w:vAlign w:val="bottom"/>
            <w:gridSpan w:val="9"/>
          </w:tcPr>
          <w:p>
            <w:pPr>
              <w:ind w:left="20"/>
              <w:spacing w:after="0"/>
              <w:rPr>
                <w:sz w:val="20"/>
                <w:szCs w:val="20"/>
                <w:color w:val="auto"/>
              </w:rPr>
            </w:pPr>
            <w:r>
              <w:rPr>
                <w:rFonts w:ascii="Times New Roman" w:cs="Times New Roman" w:eastAsia="Times New Roman" w:hAnsi="Times New Roman"/>
                <w:sz w:val="18"/>
                <w:szCs w:val="18"/>
                <w:color w:val="auto"/>
                <w:w w:val="91"/>
              </w:rPr>
              <w:t>Name of Firm:  </w:t>
            </w:r>
          </w:p>
        </w:tc>
        <w:tc>
          <w:tcPr>
            <w:tcW w:w="100" w:type="dxa"/>
            <w:vAlign w:val="bottom"/>
          </w:tcPr>
          <w:p>
            <w:pPr>
              <w:spacing w:after="0"/>
              <w:rPr>
                <w:sz w:val="17"/>
                <w:szCs w:val="17"/>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 </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100" w:type="dxa"/>
            <w:vAlign w:val="bottom"/>
          </w:tcPr>
          <w:p>
            <w:pPr>
              <w:spacing w:after="0"/>
              <w:rPr>
                <w:sz w:val="17"/>
                <w:szCs w:val="17"/>
                <w:color w:val="auto"/>
              </w:rPr>
            </w:pPr>
          </w:p>
        </w:tc>
        <w:tc>
          <w:tcPr>
            <w:tcW w:w="80" w:type="dxa"/>
            <w:vAlign w:val="bottom"/>
          </w:tcPr>
          <w:p>
            <w:pPr>
              <w:ind w:left="20"/>
              <w:spacing w:after="0"/>
              <w:rPr>
                <w:sz w:val="20"/>
                <w:szCs w:val="20"/>
                <w:color w:val="auto"/>
              </w:rPr>
            </w:pPr>
            <w:r>
              <w:rPr>
                <w:rFonts w:ascii="Times New Roman" w:cs="Times New Roman" w:eastAsia="Times New Roman" w:hAnsi="Times New Roman"/>
                <w:sz w:val="4"/>
                <w:szCs w:val="4"/>
                <w:color w:val="auto"/>
                <w:w w:val="98"/>
              </w:rPr>
              <w:t> </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60" w:type="dxa"/>
            <w:vAlign w:val="bottom"/>
          </w:tcPr>
          <w:p>
            <w:pPr>
              <w:ind w:left="100"/>
              <w:spacing w:after="0"/>
              <w:rPr>
                <w:sz w:val="20"/>
                <w:szCs w:val="20"/>
                <w:color w:val="auto"/>
              </w:rPr>
            </w:pPr>
            <w:r>
              <w:rPr>
                <w:rFonts w:ascii="Times New Roman" w:cs="Times New Roman" w:eastAsia="Times New Roman" w:hAnsi="Times New Roman"/>
                <w:sz w:val="4"/>
                <w:szCs w:val="4"/>
                <w:color w:val="auto"/>
                <w:w w:val="98"/>
              </w:rPr>
              <w:t> </w:t>
            </w:r>
          </w:p>
        </w:tc>
        <w:tc>
          <w:tcPr>
            <w:tcW w:w="200" w:type="dxa"/>
            <w:vAlign w:val="bottom"/>
          </w:tcPr>
          <w:p>
            <w:pPr>
              <w:ind w:left="12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 </w:t>
            </w:r>
          </w:p>
        </w:tc>
        <w:tc>
          <w:tcPr>
            <w:tcW w:w="20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72"/>
              </w:rPr>
              <w:t> </w:t>
            </w:r>
          </w:p>
        </w:tc>
        <w:tc>
          <w:tcPr>
            <w:tcW w:w="160" w:type="dxa"/>
            <w:vAlign w:val="bottom"/>
          </w:tcPr>
          <w:p>
            <w:pPr>
              <w:ind w:left="8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 </w:t>
            </w:r>
          </w:p>
        </w:tc>
        <w:tc>
          <w:tcPr>
            <w:tcW w:w="200" w:type="dxa"/>
            <w:vAlign w:val="bottom"/>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60" w:type="dxa"/>
            <w:vAlign w:val="bottom"/>
          </w:tcPr>
          <w:p>
            <w:pPr>
              <w:spacing w:after="0"/>
              <w:rPr>
                <w:sz w:val="17"/>
                <w:szCs w:val="17"/>
                <w:color w:val="auto"/>
              </w:rPr>
            </w:pPr>
          </w:p>
        </w:tc>
        <w:tc>
          <w:tcPr>
            <w:tcW w:w="2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 xml:space="preserve">   </w:t>
            </w:r>
          </w:p>
        </w:tc>
      </w:tr>
      <w:tr>
        <w:trPr>
          <w:trHeight w:val="20"/>
        </w:trPr>
        <w:tc>
          <w:tcPr>
            <w:tcW w:w="560" w:type="dxa"/>
            <w:vAlign w:val="bottom"/>
            <w:gridSpan w:val="4"/>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31"/>
        </w:trPr>
        <w:tc>
          <w:tcPr>
            <w:tcW w:w="84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w w:val="92"/>
              </w:rPr>
              <w:t>Address: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w w:val="98"/>
              </w:rPr>
              <w:t> </w:t>
            </w:r>
          </w:p>
        </w:tc>
        <w:tc>
          <w:tcPr>
            <w:tcW w:w="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240" w:type="dxa"/>
            <w:vAlign w:val="bottom"/>
          </w:tcPr>
          <w:p>
            <w:pPr>
              <w:ind w:left="12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jc w:val="right"/>
              <w:ind w:right="43"/>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6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76"/>
              </w:rPr>
              <w:t> </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jc w:val="right"/>
              <w:ind w:right="43"/>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jc w:val="right"/>
              <w:ind w:right="43"/>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jc w:val="right"/>
              <w:ind w:right="46"/>
              <w:spacing w:after="0"/>
              <w:rPr>
                <w:sz w:val="20"/>
                <w:szCs w:val="20"/>
                <w:color w:val="auto"/>
              </w:rPr>
            </w:pPr>
            <w:r>
              <w:rPr>
                <w:rFonts w:ascii="Times New Roman" w:cs="Times New Roman" w:eastAsia="Times New Roman" w:hAnsi="Times New Roman"/>
                <w:sz w:val="8"/>
                <w:szCs w:val="8"/>
                <w:color w:val="auto"/>
                <w:w w:val="74"/>
              </w:rPr>
              <w:t> </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77"/>
              </w:rPr>
              <w:t> </w:t>
            </w:r>
          </w:p>
        </w:tc>
        <w:tc>
          <w:tcPr>
            <w:tcW w:w="16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jc w:val="right"/>
              <w:ind w:right="43"/>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jc w:val="right"/>
              <w:ind w:right="43"/>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jc w:val="right"/>
              <w:ind w:right="47"/>
              <w:spacing w:after="0"/>
              <w:rPr>
                <w:sz w:val="20"/>
                <w:szCs w:val="20"/>
                <w:color w:val="auto"/>
              </w:rPr>
            </w:pPr>
            <w:r>
              <w:rPr>
                <w:rFonts w:ascii="Times New Roman" w:cs="Times New Roman" w:eastAsia="Times New Roman" w:hAnsi="Times New Roman"/>
                <w:sz w:val="8"/>
                <w:szCs w:val="8"/>
                <w:color w:val="auto"/>
                <w:w w:val="74"/>
              </w:rPr>
              <w:t> </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60" w:type="dxa"/>
            <w:vAlign w:val="bottom"/>
          </w:tcPr>
          <w:p>
            <w:pPr>
              <w:ind w:left="20"/>
              <w:spacing w:after="0"/>
              <w:rPr>
                <w:sz w:val="20"/>
                <w:szCs w:val="20"/>
                <w:color w:val="auto"/>
              </w:rPr>
            </w:pPr>
            <w:r>
              <w:rPr>
                <w:rFonts w:ascii="Times New Roman" w:cs="Times New Roman" w:eastAsia="Times New Roman" w:hAnsi="Times New Roman"/>
                <w:sz w:val="2"/>
                <w:szCs w:val="2"/>
                <w:color w:val="auto"/>
                <w:w w:val="97"/>
              </w:rPr>
              <w:t> </w:t>
            </w:r>
          </w:p>
        </w:tc>
        <w:tc>
          <w:tcPr>
            <w:tcW w:w="26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 xml:space="preserve">   </w:t>
            </w:r>
          </w:p>
        </w:tc>
      </w:tr>
      <w:tr>
        <w:trPr>
          <w:trHeight w:val="344"/>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88"/>
              </w:rPr>
              <w:t> </w:t>
            </w: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30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24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0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360" w:type="dxa"/>
            <w:vAlign w:val="bottom"/>
            <w:tcBorders>
              <w:top w:val="single" w:sz="8" w:color="auto"/>
            </w:tcBorders>
            <w:gridSpan w:val="2"/>
          </w:tcPr>
          <w:p>
            <w:pPr>
              <w:jc w:val="right"/>
              <w:ind w:right="43"/>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w w:val="76"/>
              </w:rPr>
              <w:t> </w:t>
            </w:r>
          </w:p>
        </w:tc>
        <w:tc>
          <w:tcPr>
            <w:tcW w:w="380" w:type="dxa"/>
            <w:vAlign w:val="bottom"/>
            <w:tcBorders>
              <w:top w:val="single" w:sz="8" w:color="auto"/>
            </w:tcBorders>
            <w:gridSpan w:val="2"/>
          </w:tcPr>
          <w:p>
            <w:pPr>
              <w:jc w:val="right"/>
              <w:ind w:right="43"/>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360" w:type="dxa"/>
            <w:vAlign w:val="bottom"/>
            <w:tcBorders>
              <w:top w:val="single" w:sz="8" w:color="auto"/>
            </w:tcBorders>
            <w:gridSpan w:val="2"/>
          </w:tcPr>
          <w:p>
            <w:pPr>
              <w:jc w:val="right"/>
              <w:ind w:right="43"/>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8"/>
                <w:szCs w:val="8"/>
                <w:color w:val="auto"/>
                <w:w w:val="74"/>
              </w:rPr>
              <w:t> </w:t>
            </w:r>
          </w:p>
        </w:tc>
        <w:tc>
          <w:tcPr>
            <w:tcW w:w="2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77"/>
              </w:rPr>
              <w:t> </w:t>
            </w:r>
          </w:p>
        </w:tc>
        <w:tc>
          <w:tcPr>
            <w:tcW w:w="340" w:type="dxa"/>
            <w:vAlign w:val="bottom"/>
            <w:tcBorders>
              <w:top w:val="single" w:sz="8" w:color="auto"/>
            </w:tcBorders>
            <w:gridSpan w:val="2"/>
          </w:tcPr>
          <w:p>
            <w:pPr>
              <w:jc w:val="right"/>
              <w:ind w:right="43"/>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360" w:type="dxa"/>
            <w:vAlign w:val="bottom"/>
            <w:tcBorders>
              <w:top w:val="single" w:sz="8" w:color="auto"/>
            </w:tcBorders>
            <w:gridSpan w:val="2"/>
          </w:tcPr>
          <w:p>
            <w:pPr>
              <w:jc w:val="right"/>
              <w:ind w:right="43"/>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Borders>
              <w:top w:val="single" w:sz="8" w:color="auto"/>
            </w:tcBorders>
          </w:tcPr>
          <w:p>
            <w:pPr>
              <w:jc w:val="right"/>
              <w:ind w:right="47"/>
              <w:spacing w:after="0"/>
              <w:rPr>
                <w:sz w:val="20"/>
                <w:szCs w:val="20"/>
                <w:color w:val="auto"/>
              </w:rPr>
            </w:pPr>
            <w:r>
              <w:rPr>
                <w:rFonts w:ascii="Times New Roman" w:cs="Times New Roman" w:eastAsia="Times New Roman" w:hAnsi="Times New Roman"/>
                <w:sz w:val="8"/>
                <w:szCs w:val="8"/>
                <w:color w:val="auto"/>
                <w:w w:val="74"/>
              </w:rPr>
              <w:t> </w:t>
            </w:r>
          </w:p>
        </w:tc>
        <w:tc>
          <w:tcPr>
            <w:tcW w:w="2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xml:space="preserve">   </w:t>
            </w:r>
          </w:p>
        </w:tc>
        <w:tc>
          <w:tcPr>
            <w:tcW w:w="6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 </w:t>
            </w:r>
          </w:p>
        </w:tc>
      </w:tr>
      <w:tr>
        <w:trPr>
          <w:trHeight w:val="277"/>
        </w:trPr>
        <w:tc>
          <w:tcPr>
            <w:tcW w:w="1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(Zip Code)</w:t>
            </w:r>
          </w:p>
        </w:tc>
        <w:tc>
          <w:tcPr>
            <w:tcW w:w="1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310"/>
        </w:trPr>
        <w:tc>
          <w:tcPr>
            <w:tcW w:w="1920" w:type="dxa"/>
            <w:vAlign w:val="bottom"/>
            <w:gridSpan w:val="14"/>
          </w:tcPr>
          <w:p>
            <w:pPr>
              <w:ind w:left="20"/>
              <w:spacing w:after="0"/>
              <w:rPr>
                <w:sz w:val="20"/>
                <w:szCs w:val="20"/>
                <w:color w:val="auto"/>
              </w:rPr>
            </w:pPr>
            <w:r>
              <w:rPr>
                <w:rFonts w:ascii="Times New Roman" w:cs="Times New Roman" w:eastAsia="Times New Roman" w:hAnsi="Times New Roman"/>
                <w:sz w:val="18"/>
                <w:szCs w:val="18"/>
                <w:color w:val="auto"/>
                <w:w w:val="94"/>
              </w:rPr>
              <w:t>Area Code and Tel. No.:  </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jc w:val="right"/>
              <w:ind w:right="3"/>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20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jc w:val="right"/>
              <w:ind w:right="3"/>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jc w:val="right"/>
              <w:ind w:right="3"/>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jc w:val="right"/>
              <w:ind w:right="6"/>
              <w:spacing w:after="0"/>
              <w:rPr>
                <w:sz w:val="20"/>
                <w:szCs w:val="20"/>
                <w:color w:val="auto"/>
              </w:rPr>
            </w:pPr>
            <w:r>
              <w:rPr>
                <w:rFonts w:ascii="Times New Roman" w:cs="Times New Roman" w:eastAsia="Times New Roman" w:hAnsi="Times New Roman"/>
                <w:sz w:val="13"/>
                <w:szCs w:val="13"/>
                <w:color w:val="auto"/>
                <w:w w:val="76"/>
              </w:rPr>
              <w:t> </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16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jc w:val="right"/>
              <w:ind w:right="3"/>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jc w:val="right"/>
              <w:ind w:right="3"/>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76"/>
              </w:rPr>
              <w:t>  </w:t>
            </w:r>
          </w:p>
        </w:tc>
        <w:tc>
          <w:tcPr>
            <w:tcW w:w="200" w:type="dxa"/>
            <w:vAlign w:val="bottom"/>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60" w:type="dxa"/>
            <w:vAlign w:val="bottom"/>
          </w:tcPr>
          <w:p>
            <w:pPr>
              <w:spacing w:after="0"/>
              <w:rPr>
                <w:sz w:val="24"/>
                <w:szCs w:val="24"/>
                <w:color w:val="auto"/>
              </w:rPr>
            </w:pPr>
          </w:p>
        </w:tc>
        <w:tc>
          <w:tcPr>
            <w:tcW w:w="2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 xml:space="preserve">    </w:t>
            </w:r>
          </w:p>
        </w:tc>
      </w:tr>
      <w:tr>
        <w:trPr>
          <w:trHeight w:val="20"/>
        </w:trPr>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0" w:type="dxa"/>
            <w:vAlign w:val="bottom"/>
            <w:gridSpan w:val="11"/>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gridSpan w:val="2"/>
          </w:tcPr>
          <w:p>
            <w:pPr>
              <w:spacing w:after="0" w:line="20" w:lineRule="exact"/>
              <w:rPr>
                <w:sz w:val="1"/>
                <w:szCs w:val="1"/>
                <w:color w:val="auto"/>
              </w:rPr>
            </w:pPr>
          </w:p>
        </w:tc>
      </w:tr>
      <w:tr>
        <w:trPr>
          <w:trHeight w:val="345"/>
        </w:trPr>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w w:val="88"/>
              </w:rPr>
              <w:t> </w:t>
            </w: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2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3"/>
                <w:szCs w:val="13"/>
                <w:color w:val="auto"/>
                <w:w w:val="76"/>
              </w:rPr>
              <w:t> </w:t>
            </w:r>
          </w:p>
        </w:tc>
        <w:tc>
          <w:tcPr>
            <w:tcW w:w="1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
                <w:szCs w:val="2"/>
                <w:color w:val="auto"/>
                <w:w w:val="97"/>
              </w:rPr>
              <w:t> </w:t>
            </w: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360" w:type="dxa"/>
            <w:vAlign w:val="bottom"/>
            <w:tcBorders>
              <w:bottom w:val="single" w:sz="8" w:color="auto"/>
            </w:tcBorders>
            <w:gridSpan w:val="2"/>
          </w:tcPr>
          <w:p>
            <w:pPr>
              <w:jc w:val="right"/>
              <w:ind w:right="43"/>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w w:val="76"/>
              </w:rPr>
              <w:t> </w:t>
            </w:r>
          </w:p>
        </w:tc>
        <w:tc>
          <w:tcPr>
            <w:tcW w:w="2000" w:type="dxa"/>
            <w:vAlign w:val="bottom"/>
            <w:tcBorders>
              <w:bottom w:val="single" w:sz="8" w:color="auto"/>
            </w:tcBorders>
            <w:gridSpan w:val="11"/>
          </w:tcPr>
          <w:p>
            <w:pPr>
              <w:jc w:val="right"/>
              <w:ind w:right="43"/>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360" w:type="dxa"/>
            <w:vAlign w:val="bottom"/>
            <w:tcBorders>
              <w:bottom w:val="single" w:sz="8" w:color="auto"/>
            </w:tcBorders>
            <w:gridSpan w:val="2"/>
          </w:tcPr>
          <w:p>
            <w:pPr>
              <w:jc w:val="right"/>
              <w:ind w:right="43"/>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Borders>
              <w:bottom w:val="single" w:sz="8" w:color="auto"/>
            </w:tcBorders>
          </w:tcPr>
          <w:p>
            <w:pPr>
              <w:jc w:val="right"/>
              <w:ind w:right="47"/>
              <w:spacing w:after="0"/>
              <w:rPr>
                <w:sz w:val="20"/>
                <w:szCs w:val="20"/>
                <w:color w:val="auto"/>
              </w:rPr>
            </w:pPr>
            <w:r>
              <w:rPr>
                <w:rFonts w:ascii="Times New Roman" w:cs="Times New Roman" w:eastAsia="Times New Roman" w:hAnsi="Times New Roman"/>
                <w:sz w:val="8"/>
                <w:szCs w:val="8"/>
                <w:color w:val="auto"/>
                <w:w w:val="74"/>
              </w:rPr>
              <w:t> </w:t>
            </w:r>
          </w:p>
        </w:tc>
        <w:tc>
          <w:tcPr>
            <w:tcW w:w="2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
                <w:szCs w:val="2"/>
                <w:color w:val="auto"/>
                <w:w w:val="97"/>
              </w:rPr>
              <w:t> </w:t>
            </w:r>
          </w:p>
        </w:tc>
        <w:tc>
          <w:tcPr>
            <w:tcW w:w="26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8"/>
                <w:szCs w:val="18"/>
                <w:color w:val="auto"/>
              </w:rPr>
              <w:t xml:space="preserve">   </w:t>
            </w:r>
          </w:p>
        </w:tc>
      </w:tr>
      <w:tr>
        <w:trPr>
          <w:trHeight w:val="277"/>
        </w:trPr>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80" w:type="dxa"/>
            <w:vAlign w:val="bottom"/>
            <w:gridSpan w:val="11"/>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(Authorized Signature)</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10"/>
        </w:trPr>
        <w:tc>
          <w:tcPr>
            <w:tcW w:w="7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w w:val="96"/>
              </w:rPr>
              <w:t>Name:  </w:t>
            </w:r>
          </w:p>
        </w:tc>
        <w:tc>
          <w:tcPr>
            <w:tcW w:w="12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w w:val="76"/>
              </w:rPr>
              <w:t> </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140"/>
              <w:spacing w:after="0"/>
              <w:rPr>
                <w:sz w:val="20"/>
                <w:szCs w:val="20"/>
                <w:color w:val="auto"/>
              </w:rPr>
            </w:pPr>
            <w:r>
              <w:rPr>
                <w:rFonts w:ascii="Times New Roman" w:cs="Times New Roman" w:eastAsia="Times New Roman" w:hAnsi="Times New Roman"/>
                <w:sz w:val="2"/>
                <w:szCs w:val="2"/>
                <w:color w:val="auto"/>
                <w:w w:val="97"/>
              </w:rPr>
              <w:t> </w:t>
            </w:r>
          </w:p>
        </w:tc>
        <w:tc>
          <w:tcPr>
            <w:tcW w:w="240" w:type="dxa"/>
            <w:vAlign w:val="bottom"/>
          </w:tcPr>
          <w:p>
            <w:pPr>
              <w:ind w:left="14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20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2"/>
              </w:rPr>
              <w:t> </w:t>
            </w:r>
          </w:p>
        </w:tc>
        <w:tc>
          <w:tcPr>
            <w:tcW w:w="1080" w:type="dxa"/>
            <w:vAlign w:val="bottom"/>
            <w:gridSpan w:val="6"/>
          </w:tcPr>
          <w:p>
            <w:pPr>
              <w:jc w:val="right"/>
              <w:ind w:right="26"/>
              <w:spacing w:after="0"/>
              <w:rPr>
                <w:sz w:val="20"/>
                <w:szCs w:val="20"/>
                <w:color w:val="auto"/>
              </w:rPr>
            </w:pPr>
            <w:r>
              <w:rPr>
                <w:rFonts w:ascii="Times New Roman" w:cs="Times New Roman" w:eastAsia="Times New Roman" w:hAnsi="Times New Roman"/>
                <w:sz w:val="18"/>
                <w:szCs w:val="18"/>
                <w:color w:val="auto"/>
              </w:rPr>
              <w:t xml:space="preserve">                </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16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w w:val="72"/>
              </w:rPr>
              <w:t> </w:t>
            </w:r>
          </w:p>
        </w:tc>
        <w:tc>
          <w:tcPr>
            <w:tcW w:w="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60" w:type="dxa"/>
            <w:vAlign w:val="bottom"/>
          </w:tcPr>
          <w:p>
            <w:pPr>
              <w:spacing w:after="0"/>
              <w:rPr>
                <w:sz w:val="24"/>
                <w:szCs w:val="24"/>
                <w:color w:val="auto"/>
              </w:rPr>
            </w:pPr>
          </w:p>
        </w:tc>
        <w:tc>
          <w:tcPr>
            <w:tcW w:w="2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 xml:space="preserve">   </w:t>
            </w:r>
          </w:p>
        </w:tc>
      </w:tr>
      <w:tr>
        <w:trPr>
          <w:trHeight w:val="237"/>
        </w:trPr>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gridSpan w:val="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(Please type or print)</w:t>
            </w:r>
          </w:p>
        </w:tc>
        <w:tc>
          <w:tcPr>
            <w:tcW w:w="16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24"/>
        </w:trPr>
        <w:tc>
          <w:tcPr>
            <w:tcW w:w="1320" w:type="dxa"/>
            <w:vAlign w:val="bottom"/>
            <w:gridSpan w:val="10"/>
          </w:tcPr>
          <w:p>
            <w:pPr>
              <w:ind w:left="20"/>
              <w:spacing w:after="0"/>
              <w:rPr>
                <w:sz w:val="20"/>
                <w:szCs w:val="20"/>
                <w:color w:val="auto"/>
              </w:rPr>
            </w:pPr>
            <w:r>
              <w:rPr>
                <w:rFonts w:ascii="Times New Roman" w:cs="Times New Roman" w:eastAsia="Times New Roman" w:hAnsi="Times New Roman"/>
                <w:sz w:val="18"/>
                <w:szCs w:val="18"/>
                <w:color w:val="auto"/>
                <w:w w:val="96"/>
              </w:rPr>
              <w:t>Title: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4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9"/>
                <w:szCs w:val="9"/>
                <w:color w:val="auto"/>
                <w:w w:val="73"/>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jc w:val="right"/>
              <w:ind w:right="43"/>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6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70"/>
              </w:rPr>
              <w:t> </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jc w:val="right"/>
              <w:ind w:right="43"/>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jc w:val="right"/>
              <w:ind w:right="43"/>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jc w:val="right"/>
              <w:ind w:right="46"/>
              <w:spacing w:after="0"/>
              <w:rPr>
                <w:sz w:val="20"/>
                <w:szCs w:val="20"/>
                <w:color w:val="auto"/>
              </w:rPr>
            </w:pPr>
            <w:r>
              <w:rPr>
                <w:rFonts w:ascii="Times New Roman" w:cs="Times New Roman" w:eastAsia="Times New Roman" w:hAnsi="Times New Roman"/>
                <w:sz w:val="8"/>
                <w:szCs w:val="8"/>
                <w:color w:val="auto"/>
                <w:w w:val="74"/>
              </w:rPr>
              <w:t> </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 </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jc w:val="right"/>
              <w:ind w:right="43"/>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jc w:val="right"/>
              <w:ind w:right="43"/>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jc w:val="right"/>
              <w:ind w:right="47"/>
              <w:spacing w:after="0"/>
              <w:rPr>
                <w:sz w:val="20"/>
                <w:szCs w:val="20"/>
                <w:color w:val="auto"/>
              </w:rPr>
            </w:pPr>
            <w:r>
              <w:rPr>
                <w:rFonts w:ascii="Times New Roman" w:cs="Times New Roman" w:eastAsia="Times New Roman" w:hAnsi="Times New Roman"/>
                <w:sz w:val="8"/>
                <w:szCs w:val="8"/>
                <w:color w:val="auto"/>
                <w:w w:val="74"/>
              </w:rPr>
              <w:t> </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60" w:type="dxa"/>
            <w:vAlign w:val="bottom"/>
          </w:tcPr>
          <w:p>
            <w:pPr>
              <w:spacing w:after="0"/>
              <w:rPr>
                <w:sz w:val="24"/>
                <w:szCs w:val="24"/>
                <w:color w:val="auto"/>
              </w:rPr>
            </w:pPr>
          </w:p>
        </w:tc>
        <w:tc>
          <w:tcPr>
            <w:tcW w:w="2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 xml:space="preserve">   </w:t>
            </w:r>
          </w:p>
        </w:tc>
      </w:tr>
      <w:tr>
        <w:trPr>
          <w:trHeight w:val="20"/>
        </w:trPr>
        <w:tc>
          <w:tcPr>
            <w:tcW w:w="460" w:type="dxa"/>
            <w:vAlign w:val="bottom"/>
            <w:gridSpan w:val="3"/>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345"/>
        </w:trPr>
        <w:tc>
          <w:tcPr>
            <w:tcW w:w="7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w w:val="96"/>
              </w:rPr>
              <w:t>Dated:  </w:t>
            </w:r>
          </w:p>
        </w:tc>
        <w:tc>
          <w:tcPr>
            <w:tcW w:w="12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w w:val="76"/>
              </w:rPr>
              <w:t> </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140"/>
              <w:spacing w:after="0"/>
              <w:rPr>
                <w:sz w:val="20"/>
                <w:szCs w:val="20"/>
                <w:color w:val="auto"/>
              </w:rPr>
            </w:pPr>
            <w:r>
              <w:rPr>
                <w:rFonts w:ascii="Times New Roman" w:cs="Times New Roman" w:eastAsia="Times New Roman" w:hAnsi="Times New Roman"/>
                <w:sz w:val="2"/>
                <w:szCs w:val="2"/>
                <w:color w:val="auto"/>
                <w:w w:val="97"/>
              </w:rPr>
              <w:t> </w:t>
            </w:r>
          </w:p>
        </w:tc>
        <w:tc>
          <w:tcPr>
            <w:tcW w:w="240" w:type="dxa"/>
            <w:vAlign w:val="bottom"/>
          </w:tcPr>
          <w:p>
            <w:pPr>
              <w:ind w:left="14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20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2"/>
              </w:rPr>
              <w:t> </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16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w w:val="72"/>
              </w:rPr>
              <w:t> </w:t>
            </w:r>
          </w:p>
        </w:tc>
        <w:tc>
          <w:tcPr>
            <w:tcW w:w="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60" w:type="dxa"/>
            <w:vAlign w:val="bottom"/>
          </w:tcPr>
          <w:p>
            <w:pPr>
              <w:spacing w:after="0"/>
              <w:rPr>
                <w:sz w:val="24"/>
                <w:szCs w:val="24"/>
                <w:color w:val="auto"/>
              </w:rPr>
            </w:pPr>
          </w:p>
        </w:tc>
        <w:tc>
          <w:tcPr>
            <w:tcW w:w="2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 xml:space="preserve">   </w:t>
            </w:r>
          </w:p>
        </w:tc>
      </w:tr>
      <w:tr>
        <w:trPr>
          <w:trHeight w:val="20"/>
        </w:trPr>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13" w:lineRule="exact"/>
        <w:rPr>
          <w:sz w:val="20"/>
          <w:szCs w:val="20"/>
          <w:color w:val="auto"/>
        </w:rPr>
      </w:pPr>
    </w:p>
    <w:p>
      <w:pPr>
        <w:ind w:left="1040" w:right="419" w:hanging="719"/>
        <w:spacing w:after="0" w:line="291" w:lineRule="auto"/>
        <w:tabs>
          <w:tab w:leader="none" w:pos="1020" w:val="left"/>
        </w:tabs>
        <w:rPr>
          <w:sz w:val="20"/>
          <w:szCs w:val="20"/>
          <w:color w:val="auto"/>
        </w:rPr>
      </w:pPr>
      <w:r>
        <w:rPr>
          <w:rFonts w:ascii="Times New Roman" w:cs="Times New Roman" w:eastAsia="Times New Roman" w:hAnsi="Times New Roman"/>
          <w:sz w:val="17"/>
          <w:szCs w:val="17"/>
          <w:b w:val="1"/>
          <w:bCs w:val="1"/>
          <w:color w:val="auto"/>
        </w:rPr>
        <w:t>NOTE:</w:t>
        <w:tab/>
        <w:t>DO NOT SEND CERTIFICATES REPRESENTING TENDERED SHARES WITH THIS NOTICE. CERTIFICATES REPRESENTING TENDERED SHARES SHOULD BE SENT WITH YOUR PROPERLY COMPLETED AND DULY EXECUTED LETTER OF TRANSMITTAL.</w:t>
      </w:r>
    </w:p>
    <w:p>
      <w:pPr>
        <w:sectPr>
          <w:pgSz w:w="11900" w:h="16838" w:orient="portrait"/>
          <w:cols w:equalWidth="0" w:num="1">
            <w:col w:w="9019"/>
          </w:cols>
          <w:pgMar w:left="1440" w:top="333" w:right="1440" w:bottom="1440" w:gutter="0" w:footer="0" w:header="0"/>
        </w:sectPr>
      </w:pPr>
    </w:p>
    <w:bookmarkStart w:id="91" w:name="page92"/>
    <w:bookmarkEnd w:id="91"/>
    <w:p>
      <w:pPr>
        <w:jc w:val="right"/>
        <w:ind w:right="299"/>
        <w:spacing w:after="0"/>
        <w:rPr>
          <w:sz w:val="20"/>
          <w:szCs w:val="20"/>
          <w:color w:val="auto"/>
        </w:rPr>
      </w:pPr>
      <w:r>
        <w:rPr>
          <w:rFonts w:ascii="Times New Roman" w:cs="Times New Roman" w:eastAsia="Times New Roman" w:hAnsi="Times New Roman"/>
          <w:sz w:val="18"/>
          <w:szCs w:val="18"/>
          <w:b w:val="1"/>
          <w:bCs w:val="1"/>
          <w:color w:val="auto"/>
        </w:rPr>
        <w:t>Exhibit (a)(1)(D)</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Offer to Purchase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Outstanding Shares of Common Stock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PACIRA BIOSCIENCES, INC.</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$36.50 per share, net in cash, pursuant to the Offer to Purchase, dated October 30,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PEACH PURCHASER SUB INC.</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wholly owned subsidiary of</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VIATRIS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183515</wp:posOffset>
            </wp:positionH>
            <wp:positionV relativeFrom="paragraph">
              <wp:posOffset>64135</wp:posOffset>
            </wp:positionV>
            <wp:extent cx="5353050" cy="57848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0">
                      <a:extLst>
                        <a:ext uri="{28A0092B-C50C-407E-A947-70E740481C1C}"/>
                      </a:extLst>
                    </a:blip>
                    <a:srcRect/>
                    <a:stretch>
                      <a:fillRect/>
                    </a:stretch>
                  </pic:blipFill>
                  <pic:spPr bwMode="auto">
                    <a:xfrm>
                      <a:off x="0" y="0"/>
                      <a:ext cx="5353050" cy="578485"/>
                    </a:xfrm>
                    <a:prstGeom prst="rect">
                      <a:avLst/>
                    </a:prstGeom>
                    <a:noFill/>
                  </pic:spPr>
                </pic:pic>
              </a:graphicData>
            </a:graphic>
          </wp:anchor>
        </w:drawing>
      </w:r>
    </w:p>
    <w:p>
      <w:pPr>
        <w:spacing w:after="0" w:line="197" w:lineRule="exact"/>
        <w:rPr>
          <w:sz w:val="20"/>
          <w:szCs w:val="20"/>
          <w:color w:val="auto"/>
        </w:rPr>
      </w:pPr>
    </w:p>
    <w:p>
      <w:pPr>
        <w:ind w:left="600" w:right="619" w:firstLine="330"/>
        <w:spacing w:after="0" w:line="278" w:lineRule="auto"/>
        <w:rPr>
          <w:sz w:val="20"/>
          <w:szCs w:val="20"/>
          <w:color w:val="auto"/>
        </w:rPr>
      </w:pPr>
      <w:r>
        <w:rPr>
          <w:rFonts w:ascii="Times New Roman" w:cs="Times New Roman" w:eastAsia="Times New Roman" w:hAnsi="Times New Roman"/>
          <w:sz w:val="17"/>
          <w:szCs w:val="17"/>
          <w:b w:val="1"/>
          <w:bCs w:val="1"/>
          <w:color w:val="auto"/>
        </w:rPr>
        <w:t>THE OFFER AND WITHDRAWAL RIGHTS WILL EXPIRE AT THE END OF THE DAY, EASTERN TIME, ON NOVEMBER 16, 2026 (ONE MINUTE AFTER 11:59 P.M., EASTERN TIME,</w:t>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ON NOVEMBER 16, 2026), UNLESS THE OFFER IS EXTENDED OR EARLIER TERMINATED.</w:t>
      </w:r>
    </w:p>
    <w:p>
      <w:pPr>
        <w:spacing w:after="0" w:line="2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October 30, 2026</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To Brokers, Dealers, Banks, Trust Companies and other Nominees:</w:t>
      </w:r>
    </w:p>
    <w:p>
      <w:pPr>
        <w:spacing w:after="0" w:line="117" w:lineRule="exact"/>
        <w:rPr>
          <w:sz w:val="20"/>
          <w:szCs w:val="20"/>
          <w:color w:val="auto"/>
        </w:rPr>
      </w:pPr>
    </w:p>
    <w:p>
      <w:pPr>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Peach Purchaser Sub Inc., a Delaware corporation (“Purchaser”) and a wholly owned subsidiary of Viatris Inc., a Delaware corporation (“Viatris”), and Viatris have appointed Innisfree M&amp;A Incorporated to act as the information agent (the “Information Agent”) in connection with Purchaser’s offer to purchase all of the issued and outstanding shares of common stock, par value $0.001 per share (the “Shares”), of Pacira BioSciences, Inc., a Delaware corporation (“Pacira”), at a price of $36.50 per Share, in cash, net of applicable withholding taxes and without interest (such amount, or any higher amount per Share paid pursuant to the Offer, the “Offer Price”), upon the terms and subject to the conditions set forth in the Offer to Purchase, dated as of October 30, 2026 (as it may be amended or supplemented from time to time, the “Offer to Purchase”) and in the related Letter of Transmittal (the “Letter of Transmittal” and, together with the Offer to Purchase and other related materials, as each may be amended or supplemented from time to time, the “Offer”) enclosed herewith. Please furnish copies of the enclosed materials to those of your clients for whom you hold Shares registered in your name or in the name of your nominee.</w:t>
      </w:r>
    </w:p>
    <w:p>
      <w:pPr>
        <w:spacing w:after="0" w:line="80" w:lineRule="exact"/>
        <w:rPr>
          <w:sz w:val="20"/>
          <w:szCs w:val="20"/>
          <w:color w:val="auto"/>
        </w:rPr>
      </w:pPr>
    </w:p>
    <w:p>
      <w:pPr>
        <w:ind w:left="300" w:right="79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OF PACIRA UNANIMOUSLY RECOMMENDS THAT PACIRA STOCKHOLDERS TENDER ALL OF THEIR SHARES PURSUANT TO THE OFFER.</w:t>
      </w:r>
    </w:p>
    <w:p>
      <w:pPr>
        <w:spacing w:after="0" w:line="47" w:lineRule="exact"/>
        <w:rPr>
          <w:sz w:val="20"/>
          <w:szCs w:val="20"/>
          <w:color w:val="auto"/>
        </w:rPr>
      </w:pPr>
    </w:p>
    <w:p>
      <w:pPr>
        <w:ind w:left="300" w:right="33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We urge you to contact your clients promptly. Please note that the Offer and any withdrawal rights will expire at the end of the day, Eastern Time, on November 16, 2026 (one minute after 11:59 p.m., Eastern Time, on November 16, 2026) (the “Expiration Date”), unless the Offer is extended pursuant to and in accordance with the Merger Agreement (as defined below) (in which event the “Expiration Date” will mean the latest time and date at which the Offer, as so extended by Purchaser, will expire).</w:t>
      </w:r>
    </w:p>
    <w:p>
      <w:pPr>
        <w:spacing w:after="0" w:line="75" w:lineRule="exact"/>
        <w:rPr>
          <w:sz w:val="20"/>
          <w:szCs w:val="20"/>
          <w:color w:val="auto"/>
        </w:rPr>
      </w:pPr>
    </w:p>
    <w:p>
      <w:pPr>
        <w:ind w:left="300" w:right="479" w:firstLine="360"/>
        <w:spacing w:after="0" w:line="282" w:lineRule="auto"/>
        <w:rPr>
          <w:sz w:val="20"/>
          <w:szCs w:val="20"/>
          <w:color w:val="auto"/>
        </w:rPr>
      </w:pPr>
      <w:r>
        <w:rPr>
          <w:rFonts w:ascii="Times New Roman" w:cs="Times New Roman" w:eastAsia="Times New Roman" w:hAnsi="Times New Roman"/>
          <w:sz w:val="18"/>
          <w:szCs w:val="18"/>
          <w:color w:val="auto"/>
        </w:rPr>
        <w:t>For your information and for forwarding to your clients for whom you hold Shares registered in your name or in the name of your nominee, enclosed herewith are copies of the following documents:</w:t>
      </w:r>
    </w:p>
    <w:p>
      <w:pPr>
        <w:spacing w:after="0" w:line="54" w:lineRule="exact"/>
        <w:rPr>
          <w:sz w:val="20"/>
          <w:szCs w:val="20"/>
          <w:color w:val="auto"/>
        </w:rPr>
      </w:pPr>
    </w:p>
    <w:p>
      <w:pPr>
        <w:ind w:left="1000" w:hanging="348"/>
        <w:spacing w:after="0"/>
        <w:tabs>
          <w:tab w:leader="none" w:pos="10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to Purchase, dated as of October 30, 2026;</w:t>
      </w:r>
    </w:p>
    <w:p>
      <w:pPr>
        <w:spacing w:after="0" w:line="117" w:lineRule="exact"/>
        <w:rPr>
          <w:rFonts w:ascii="Times New Roman" w:cs="Times New Roman" w:eastAsia="Times New Roman" w:hAnsi="Times New Roman"/>
          <w:sz w:val="18"/>
          <w:szCs w:val="18"/>
          <w:color w:val="auto"/>
        </w:rPr>
      </w:pPr>
    </w:p>
    <w:p>
      <w:pPr>
        <w:ind w:left="1000" w:right="659" w:hanging="348"/>
        <w:spacing w:after="0" w:line="282" w:lineRule="auto"/>
        <w:tabs>
          <w:tab w:leader="none" w:pos="10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Letter of Transmittal, including Internal Revenue Service Form W-9 or Form W-8, as applicable, to be used by the stockholders of Pacira in accepting the Offer and tendering the Shares;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Pacira’s Solicitation/Recommendation statement on Schedule 14D-9;</w:t>
      </w:r>
    </w:p>
    <w:p>
      <w:pPr>
        <w:spacing w:after="0" w:line="117" w:lineRule="exact"/>
        <w:rPr>
          <w:rFonts w:ascii="Times New Roman" w:cs="Times New Roman" w:eastAsia="Times New Roman" w:hAnsi="Times New Roman"/>
          <w:sz w:val="18"/>
          <w:szCs w:val="18"/>
          <w:color w:val="auto"/>
        </w:rPr>
      </w:pPr>
    </w:p>
    <w:p>
      <w:pPr>
        <w:jc w:val="both"/>
        <w:ind w:left="1000" w:right="459" w:hanging="348"/>
        <w:spacing w:after="0" w:line="266" w:lineRule="auto"/>
        <w:tabs>
          <w:tab w:leader="none" w:pos="10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printed form of letter that may be sent to your clients for whose accounts you hold Shares registered in your name or in the name of a nominee, with space provided for obtaining such clients’ instructions with regard to the Offer;</w:t>
      </w:r>
    </w:p>
    <w:p>
      <w:pPr>
        <w:spacing w:after="0" w:line="67" w:lineRule="exact"/>
        <w:rPr>
          <w:rFonts w:ascii="Times New Roman" w:cs="Times New Roman" w:eastAsia="Times New Roman" w:hAnsi="Times New Roman"/>
          <w:sz w:val="18"/>
          <w:szCs w:val="18"/>
          <w:color w:val="auto"/>
        </w:rPr>
      </w:pPr>
    </w:p>
    <w:p>
      <w:pPr>
        <w:ind w:left="1000" w:right="359" w:hanging="348"/>
        <w:spacing w:after="0" w:line="258" w:lineRule="auto"/>
        <w:tabs>
          <w:tab w:leader="none" w:pos="10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of guaranteed delivery to be used to accept the Offer if certificates representing the Shares and all other required documents cannot be delivered to Equiniti Trust Company, LLC, which is acting as the depositary and paying agent for the Offer (the “Depositary”), prior to the Expiration Date, if the procedure for delivery by book-entry transfer cannot be completed prior to the Expiration Date, or if time will not permit all required documents to reach the Depositary prior to the Expiration Date; and</w:t>
      </w:r>
    </w:p>
    <w:p>
      <w:pPr>
        <w:spacing w:after="0" w:line="75"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Return envelope addressed by mail to: Equiniti Trust Company, LLC, 1110 Centre Pointe Curve Suite</w:t>
      </w:r>
    </w:p>
    <w:p>
      <w:pPr>
        <w:spacing w:after="0" w:line="27" w:lineRule="exact"/>
        <w:rPr>
          <w:rFonts w:ascii="Times New Roman" w:cs="Times New Roman" w:eastAsia="Times New Roman" w:hAnsi="Times New Roman"/>
          <w:sz w:val="18"/>
          <w:szCs w:val="18"/>
          <w:color w:val="auto"/>
        </w:rPr>
      </w:pPr>
    </w:p>
    <w:p>
      <w:pPr>
        <w:ind w:left="10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101, Attn: Onbase-Reorganization Department, Mendota Heights, MN 55120.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92" w:name="page93"/>
    <w:bookmarkEnd w:id="92"/>
    <w:p>
      <w:pPr>
        <w:ind w:left="300" w:right="379" w:firstLine="360"/>
        <w:spacing w:after="0" w:line="254" w:lineRule="auto"/>
        <w:rPr>
          <w:sz w:val="20"/>
          <w:szCs w:val="20"/>
          <w:color w:val="auto"/>
        </w:rPr>
      </w:pPr>
      <w:r>
        <w:rPr>
          <w:rFonts w:ascii="Times New Roman" w:cs="Times New Roman" w:eastAsia="Times New Roman" w:hAnsi="Times New Roman"/>
          <w:sz w:val="18"/>
          <w:szCs w:val="18"/>
          <w:color w:val="auto"/>
        </w:rPr>
        <w:t>The Offer is not subject to a financing condition. The Offer is conditioned on, among other things, that as of immediately prior to the expiration of the Offer, the number of Shares validly tendered (and not validly withdrawn) prior to the time that the Offer expires (but excluding Shares tendered pursuant to guaranteed delivery procedures that have not yet been “received”, as defined by Section 251(h)(6)(f) of the General Corporation Law of the State of Delaware (the “DGCL”) by the “depository” (as such term is defined in Section 251(h)(6)(c) of the DGCL)) (as described in more detail in Section 3—“Procedures for Accepting the Offer and Tendering Shares” of the Offer to Purchase), together with the Shares then owned by Purchaser and its “affiliates” (as such term is defined in Section 251(h)(6)(a) of the DGCL), represents at least one Share more than 50% of the then-issued and outstanding Shares.</w:t>
      </w:r>
    </w:p>
    <w:p>
      <w:pPr>
        <w:spacing w:after="0" w:line="300"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The Offer is also subject to certain other conditions set forth in the Offer to Purchase, including the expiration or termination of any applicable waiting period under the Hart-Scott-Rodino Antitrust Improvements Act of 1976, as amended, the absence, since October 8, 2026, of any Material Adverse Effect (as defined in the Offer to Purchase) that is continuing as of the Offer Acceptance Time (as defined in the Offer to Purchase), and other customary conditions as described in Section 15—“Conditions to the Offer” of the Offer to Purchase.</w:t>
      </w:r>
    </w:p>
    <w:p>
      <w:pPr>
        <w:spacing w:after="0" w:line="71" w:lineRule="exact"/>
        <w:rPr>
          <w:sz w:val="20"/>
          <w:szCs w:val="20"/>
          <w:color w:val="auto"/>
        </w:rPr>
      </w:pPr>
    </w:p>
    <w:p>
      <w:pPr>
        <w:ind w:left="300" w:right="539" w:firstLine="360"/>
        <w:spacing w:after="0" w:line="254" w:lineRule="auto"/>
        <w:rPr>
          <w:sz w:val="20"/>
          <w:szCs w:val="20"/>
          <w:color w:val="auto"/>
        </w:rPr>
      </w:pPr>
      <w:r>
        <w:rPr>
          <w:rFonts w:ascii="Times New Roman" w:cs="Times New Roman" w:eastAsia="Times New Roman" w:hAnsi="Times New Roman"/>
          <w:sz w:val="18"/>
          <w:szCs w:val="18"/>
          <w:b w:val="1"/>
          <w:bCs w:val="1"/>
          <w:color w:val="auto"/>
        </w:rPr>
        <w:t>The board of directors of Pacira, among other things, has unanimously (i) determined that the Agreement and Plan of Merger, dated October 8, 2026, by and among Viatris, Purchaser and Pacira (as it may be amended from time to time, the “Merger Agreement”) and the transactions contemplated thereby, including the Offer and the Merger (as defined below) (together, the “Transactions”), are fair to, and in the best interest of, Pacira and its stockholders, and declared it advisable for Pacira to enter into the Merger Agreement and consummate the Transactions, (ii) approved the execution, delivery and performance by Pacira of the Merger Agreement and the consummation of the Transactions, (iii) resolved that the Merger will be effected under Section 251(h) of the DGCL and (iv) resolved to recommend that the stockholders of Pacira tender their Shares to Purchaser pursuant to the Offer.</w:t>
      </w:r>
    </w:p>
    <w:p>
      <w:pPr>
        <w:spacing w:after="0" w:line="84" w:lineRule="exact"/>
        <w:rPr>
          <w:sz w:val="20"/>
          <w:szCs w:val="20"/>
          <w:color w:val="auto"/>
        </w:rPr>
      </w:pPr>
    </w:p>
    <w:p>
      <w:pPr>
        <w:ind w:left="300" w:right="379" w:firstLine="360"/>
        <w:spacing w:after="0" w:line="258" w:lineRule="auto"/>
        <w:rPr>
          <w:sz w:val="20"/>
          <w:szCs w:val="20"/>
          <w:color w:val="auto"/>
        </w:rPr>
      </w:pPr>
      <w:r>
        <w:rPr>
          <w:rFonts w:ascii="Times New Roman" w:cs="Times New Roman" w:eastAsia="Times New Roman" w:hAnsi="Times New Roman"/>
          <w:sz w:val="18"/>
          <w:szCs w:val="18"/>
          <w:color w:val="auto"/>
        </w:rPr>
        <w:t>The Offer is being made pursuant to the Merger Agreement. The Merger Agreement provides, among other things, that as soon as practicable following the consummation of the Offer, on the terms and subject to the conditions set forth in the Merger Agreement and in accordance with the DGCL, Purchaser will be merged with and into Pacira (the “Merger”) with Pacira continuing as the surviving corporation in the Merger and as a wholly owned subsidiary of Viatris.</w:t>
      </w:r>
    </w:p>
    <w:p>
      <w:pPr>
        <w:spacing w:after="0" w:line="75" w:lineRule="exact"/>
        <w:rPr>
          <w:sz w:val="20"/>
          <w:szCs w:val="20"/>
          <w:color w:val="auto"/>
        </w:rPr>
      </w:pPr>
    </w:p>
    <w:p>
      <w:pPr>
        <w:ind w:left="300" w:right="339" w:firstLine="360"/>
        <w:spacing w:after="0" w:line="261" w:lineRule="auto"/>
        <w:rPr>
          <w:sz w:val="20"/>
          <w:szCs w:val="20"/>
          <w:color w:val="auto"/>
        </w:rPr>
      </w:pPr>
      <w:r>
        <w:rPr>
          <w:rFonts w:ascii="Times New Roman" w:cs="Times New Roman" w:eastAsia="Times New Roman" w:hAnsi="Times New Roman"/>
          <w:sz w:val="18"/>
          <w:szCs w:val="18"/>
          <w:color w:val="auto"/>
        </w:rPr>
        <w:t>Upon the terms and subject to the conditions set forth in the Merger Agreement and in accordance with Section 251(h) of the DGCL, the Merger will become effective upon the date and time of the filing of a certificate of merger with the Secretary of State of the State of Delaware or such later date and time as is agreed upon in writing by Viatris, Purchaser and Pacira and specified in the certificate of merger (the “Effective Time”).</w:t>
      </w:r>
    </w:p>
    <w:p>
      <w:pPr>
        <w:spacing w:after="0" w:line="72" w:lineRule="exact"/>
        <w:rPr>
          <w:sz w:val="20"/>
          <w:szCs w:val="20"/>
          <w:color w:val="auto"/>
        </w:rPr>
      </w:pPr>
    </w:p>
    <w:p>
      <w:pPr>
        <w:ind w:left="300" w:right="319" w:firstLine="360"/>
        <w:spacing w:after="0" w:line="271" w:lineRule="auto"/>
        <w:rPr>
          <w:sz w:val="20"/>
          <w:szCs w:val="20"/>
          <w:color w:val="auto"/>
        </w:rPr>
      </w:pPr>
      <w:r>
        <w:rPr>
          <w:rFonts w:ascii="Times New Roman" w:cs="Times New Roman" w:eastAsia="Times New Roman" w:hAnsi="Times New Roman"/>
          <w:sz w:val="17"/>
          <w:szCs w:val="17"/>
          <w:color w:val="auto"/>
        </w:rPr>
        <w:t>At the Effective Time, each Share issued and outstanding immediately prior to the Effective Time (other than Shares held (i) by Pacira or any of its subsidiaries (including in Pacira’s treasury), (ii) by Viatris, Purchaser or any other direct or indirect wholly owned subsidiary of Viatris, which Shares will be canceled and will cease to exist, and no consideration will be delivered in exchange therefor, or (iii) by Pacira stockholders who are entitled to demand appraisal rights under, and have properly exercised and perfected their respective demands for appraisal of such Shares in the time and manner provided in, Section 262 of the DGCL and, as of the Effective Time, have neither effectively withdrawn nor lost their rights to such appraisal and payment under the DGCL) will be converted into the right to receive the Offer Price, without interest, subject to any applicable withholding taxes. As a result of the Merger, Pacira will cease to be a publicly traded company and will become a wholly owned subsidiary of Viatris.</w:t>
      </w:r>
    </w:p>
    <w:p>
      <w:pPr>
        <w:spacing w:after="0" w:line="65" w:lineRule="exact"/>
        <w:rPr>
          <w:sz w:val="20"/>
          <w:szCs w:val="20"/>
          <w:color w:val="auto"/>
        </w:rPr>
      </w:pPr>
    </w:p>
    <w:p>
      <w:pPr>
        <w:ind w:left="300" w:right="359" w:firstLine="360"/>
        <w:spacing w:after="0" w:line="270" w:lineRule="auto"/>
        <w:rPr>
          <w:sz w:val="20"/>
          <w:szCs w:val="20"/>
          <w:color w:val="auto"/>
        </w:rPr>
      </w:pPr>
      <w:r>
        <w:rPr>
          <w:rFonts w:ascii="Times New Roman" w:cs="Times New Roman" w:eastAsia="Times New Roman" w:hAnsi="Times New Roman"/>
          <w:sz w:val="17"/>
          <w:szCs w:val="17"/>
          <w:color w:val="auto"/>
        </w:rPr>
        <w:t>For purposes of the Offer, Purchaser will be deemed to have accepted for payment, and thereby purchased, Shares validly tendered and not validly withdrawn as, if and when Purchaser gives oral or written notice to the Depositary of Purchaser’s irrevocable acceptance for purchase of such Shares pursuant to the Offer. Upon the terms set forth in the Merger Agreement and subject to the conditions as described in Section 15—“Conditions to the Offer” of the Offer to Purchase, payment for Shares accepted for payment pursuant to the Offer will be made by deposit of the Offer Price for such Shares with the Depositary, which will act as agent for tendering stockholders for the purpose of receiving payments from Purchaser and transmitting such payments to tendering stockholders whose Shares have been accepted for payment. If Purchaser extends the Offer, is delayed in its acceptance for payment of Shares or is unable to accept Shares for payment pursuant to the Offer for any reason, then, without prejudice to Purchaser’s rights under the Offer and the Merger Agreement, the Depositary may, nevertheless, retain tendered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98425</wp:posOffset>
            </wp:positionV>
            <wp:extent cx="699516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93" w:name="page94"/>
    <w:bookmarkEnd w:id="93"/>
    <w:p>
      <w:pPr>
        <w:ind w:left="300" w:right="459"/>
        <w:spacing w:after="0" w:line="266" w:lineRule="auto"/>
        <w:rPr>
          <w:sz w:val="20"/>
          <w:szCs w:val="20"/>
          <w:color w:val="auto"/>
        </w:rPr>
      </w:pPr>
      <w:r>
        <w:rPr>
          <w:rFonts w:ascii="Times New Roman" w:cs="Times New Roman" w:eastAsia="Times New Roman" w:hAnsi="Times New Roman"/>
          <w:sz w:val="18"/>
          <w:szCs w:val="18"/>
          <w:color w:val="auto"/>
        </w:rPr>
        <w:t>Shares on Purchaser’s behalf, and such Shares may only be withdrawn to the extent that tendering stockholders are entitled to withdrawal rights as described in more detail under Section 4—“Withdrawal Rights” of the Offer to Purchase and as otherwise required by Rule 14e-1(c) under the Securities Exchange Act of 1934, as amended.</w:t>
      </w:r>
    </w:p>
    <w:p>
      <w:pPr>
        <w:spacing w:after="0" w:line="68" w:lineRule="exact"/>
        <w:rPr>
          <w:sz w:val="20"/>
          <w:szCs w:val="20"/>
          <w:color w:val="auto"/>
        </w:rPr>
      </w:pPr>
    </w:p>
    <w:p>
      <w:pPr>
        <w:ind w:left="300" w:right="359" w:firstLine="360"/>
        <w:spacing w:after="0" w:line="253" w:lineRule="auto"/>
        <w:rPr>
          <w:sz w:val="20"/>
          <w:szCs w:val="20"/>
          <w:color w:val="auto"/>
        </w:rPr>
      </w:pPr>
      <w:r>
        <w:rPr>
          <w:rFonts w:ascii="Times New Roman" w:cs="Times New Roman" w:eastAsia="Times New Roman" w:hAnsi="Times New Roman"/>
          <w:sz w:val="18"/>
          <w:szCs w:val="18"/>
          <w:color w:val="auto"/>
        </w:rPr>
        <w:t>In all cases, payment for Shares validly tendered, not validly withdrawn and accepted for payment pursuant to the Offer will be made only after timely receipt by the Depositary of (i) the certificates evidencing such Shares (“Share Certificates”), if any, or confirmation of a book-entry transfer of such Shares (a “Book-Entry Confirmation”) into the Depositary’s account at The Depository Trust Company pursuant to the procedures set forth in Section 3—“Procedures for Accepting the Offer and Tendering Shares” of the Offer to Purchase, (ii) the Letter of Transmittal, properly completed and duly executed, with any required signature guarantees or, in the case of a book-entry transfer, an Agent’s Message (as defined in the Offer to Purchase) in lieu of the Letter of Transmittal and (iii) any other documents required by the Letter of Transmittal. Accordingly, tendering stockholders may be paid at different times depending upon when the foregoing documents with respect to Shares are actually received by the Depositary.</w:t>
      </w:r>
    </w:p>
    <w:p>
      <w:pPr>
        <w:spacing w:after="0" w:line="86"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The Offer is not being made to holders of Shares in any jurisdiction in which the making of the Offer would not be in compliance with the securities, blue sky or other laws of such jurisdiction. In those jurisdictions where applicable laws or regulations require the Offer to be made by a licensed broker or dealer, the Offer will be deemed to be made on behalf of Purchaser by one or more registered brokers or dealers licensed under the laws of such jurisdiction to be designated by Purchaser.</w:t>
      </w:r>
    </w:p>
    <w:p>
      <w:pPr>
        <w:spacing w:after="0" w:line="75" w:lineRule="exact"/>
        <w:rPr>
          <w:sz w:val="20"/>
          <w:szCs w:val="20"/>
          <w:color w:val="auto"/>
        </w:rPr>
      </w:pPr>
    </w:p>
    <w:p>
      <w:pPr>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In order to tender Shares pursuant to the Offer, a Letter of Transmittal (or a manually executed facsimile thereof), properly completed and duly executed, with any required signature guarantees (or, in the case of book-entry transfer, an Agent’s Message if submitted in lieu of a Letter of Transmittal), and any other documents required by the Letter of Transmittal, should be sent to and timely received by the Depositary, and either Share Certificates or a timely Book-Entry Confirmation should be delivered, all in accordance with the instructions set forth in the Letter of Transmittal and the Offer to Purchase.</w:t>
      </w:r>
    </w:p>
    <w:p>
      <w:pPr>
        <w:spacing w:after="0" w:line="79"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Neither Viatris nor Purchaser will pay any fees or commissions to any broker or dealer or to any other person (other than to Innisfree M&amp;A Incorporated in its capacity as the Information Agent and Equiniti Trust Company, LLC in its capacity as the Depositary) in connection with the solicitation of tenders of Shares pursuant to the Offer. You will, upon request, be reimbursed by Purchaser for customary mailing and handling expenses incurred by you in forwarding offering materials to your customers.</w:t>
      </w:r>
    </w:p>
    <w:p>
      <w:pPr>
        <w:spacing w:after="0" w:line="75" w:lineRule="exact"/>
        <w:rPr>
          <w:sz w:val="20"/>
          <w:szCs w:val="20"/>
          <w:color w:val="auto"/>
        </w:rPr>
      </w:pPr>
    </w:p>
    <w:p>
      <w:pPr>
        <w:ind w:left="300" w:right="519" w:firstLine="360"/>
        <w:spacing w:after="0" w:line="261" w:lineRule="auto"/>
        <w:rPr>
          <w:sz w:val="20"/>
          <w:szCs w:val="20"/>
          <w:color w:val="auto"/>
        </w:rPr>
      </w:pPr>
      <w:r>
        <w:rPr>
          <w:rFonts w:ascii="Times New Roman" w:cs="Times New Roman" w:eastAsia="Times New Roman" w:hAnsi="Times New Roman"/>
          <w:sz w:val="18"/>
          <w:szCs w:val="18"/>
          <w:color w:val="auto"/>
        </w:rPr>
        <w:t>Stockholders whose Share Certificates are not immediately available or who cannot deliver all other required documents to the Depositary prior to the Expiration Date or who cannot complete the procedures for book-entry transfer prior to the Expiration Date may nevertheless tender their Shares by following the guaranteed delivery procedures set forth in the Offer to Purchase and the Letter of Transmittal.</w:t>
      </w:r>
    </w:p>
    <w:p>
      <w:pPr>
        <w:spacing w:after="0" w:line="72" w:lineRule="exact"/>
        <w:rPr>
          <w:sz w:val="20"/>
          <w:szCs w:val="20"/>
          <w:color w:val="auto"/>
        </w:rPr>
      </w:pPr>
    </w:p>
    <w:p>
      <w:pPr>
        <w:jc w:val="both"/>
        <w:ind w:left="300" w:right="859" w:firstLine="360"/>
        <w:spacing w:after="0" w:line="266" w:lineRule="auto"/>
        <w:rPr>
          <w:sz w:val="20"/>
          <w:szCs w:val="20"/>
          <w:color w:val="auto"/>
        </w:rPr>
      </w:pPr>
      <w:r>
        <w:rPr>
          <w:rFonts w:ascii="Times New Roman" w:cs="Times New Roman" w:eastAsia="Times New Roman" w:hAnsi="Times New Roman"/>
          <w:sz w:val="18"/>
          <w:szCs w:val="18"/>
          <w:color w:val="auto"/>
        </w:rPr>
        <w:t>Questions or requests for assistance or additional copies of the enclosed materials may be directed to the Information Agent (the undersigned) at the address and telephone numbers set forth on the back cover of the enclosed Offer to Purchase.</w:t>
      </w:r>
    </w:p>
    <w:p>
      <w:pPr>
        <w:spacing w:after="0" w:line="216"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79"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Innisfree M&amp;A Incorporated</w:t>
      </w:r>
    </w:p>
    <w:p>
      <w:pPr>
        <w:spacing w:after="0" w:line="167" w:lineRule="exact"/>
        <w:rPr>
          <w:sz w:val="20"/>
          <w:szCs w:val="20"/>
          <w:color w:val="auto"/>
        </w:rPr>
      </w:pPr>
    </w:p>
    <w:p>
      <w:pPr>
        <w:ind w:left="300" w:right="479" w:firstLine="360"/>
        <w:spacing w:after="0" w:line="257" w:lineRule="auto"/>
        <w:rPr>
          <w:sz w:val="20"/>
          <w:szCs w:val="20"/>
          <w:color w:val="auto"/>
        </w:rPr>
      </w:pPr>
      <w:r>
        <w:rPr>
          <w:rFonts w:ascii="Times New Roman" w:cs="Times New Roman" w:eastAsia="Times New Roman" w:hAnsi="Times New Roman"/>
          <w:sz w:val="18"/>
          <w:szCs w:val="18"/>
          <w:b w:val="1"/>
          <w:bCs w:val="1"/>
          <w:color w:val="auto"/>
        </w:rPr>
        <w:t>NOTHING CONTAINED HEREIN OR IN THE ENCLOSED DOCUMENTS SHALL RENDER YOU OR ANY OTHER PERSON THE AGENT OF PURCHASER, VIATRIS, THE DEPOSITARY OR THE INFORMATION AGENT OR AUTHORIZE YOU OR ANY OTHER PERSON TO GIVE ANY INFORMATION OR MAKE ANY REPRESENTATION ON BEHALF OF ANY OF THEM WITH RESPECT TO THE OFFER THAT IS NOT CONTAINED IN THE OFFER TO PURCHASE OR THE LETTER OF TRANSMITTAL.</w:t>
      </w:r>
    </w:p>
    <w:p>
      <w:pPr>
        <w:sectPr>
          <w:pgSz w:w="11900" w:h="16838" w:orient="portrait"/>
          <w:cols w:equalWidth="0" w:num="1">
            <w:col w:w="9019"/>
          </w:cols>
          <w:pgMar w:left="1440" w:top="243" w:right="1440" w:bottom="1440" w:gutter="0" w:footer="0" w:header="0"/>
        </w:sectPr>
      </w:pPr>
    </w:p>
    <w:bookmarkStart w:id="94" w:name="page95"/>
    <w:bookmarkEnd w:id="94"/>
    <w:p>
      <w:pPr>
        <w:jc w:val="right"/>
        <w:ind w:right="299"/>
        <w:spacing w:after="0"/>
        <w:rPr>
          <w:sz w:val="20"/>
          <w:szCs w:val="20"/>
          <w:color w:val="auto"/>
        </w:rPr>
      </w:pPr>
      <w:r>
        <w:rPr>
          <w:rFonts w:ascii="Times New Roman" w:cs="Times New Roman" w:eastAsia="Times New Roman" w:hAnsi="Times New Roman"/>
          <w:sz w:val="18"/>
          <w:szCs w:val="18"/>
          <w:b w:val="1"/>
          <w:bCs w:val="1"/>
          <w:color w:val="auto"/>
        </w:rPr>
        <w:t>Exhibit (a)(1)(E)</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Offer to Purchase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Outstanding Shares of Common Stock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PACIRA BIOSCIENCES, INC.</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$36.50 per share, net in cash, pursuant to the Offer to Purchase, dated October 30,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PEACH PURCHASER SUB INC.</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wholly owned subsidiary of</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VIATRIS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183515</wp:posOffset>
            </wp:positionH>
            <wp:positionV relativeFrom="paragraph">
              <wp:posOffset>64135</wp:posOffset>
            </wp:positionV>
            <wp:extent cx="5353050" cy="5784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3">
                      <a:extLst>
                        <a:ext uri="{28A0092B-C50C-407E-A947-70E740481C1C}"/>
                      </a:extLst>
                    </a:blip>
                    <a:srcRect/>
                    <a:stretch>
                      <a:fillRect/>
                    </a:stretch>
                  </pic:blipFill>
                  <pic:spPr bwMode="auto">
                    <a:xfrm>
                      <a:off x="0" y="0"/>
                      <a:ext cx="5353050" cy="578485"/>
                    </a:xfrm>
                    <a:prstGeom prst="rect">
                      <a:avLst/>
                    </a:prstGeom>
                    <a:noFill/>
                  </pic:spPr>
                </pic:pic>
              </a:graphicData>
            </a:graphic>
          </wp:anchor>
        </w:drawing>
      </w:r>
    </w:p>
    <w:p>
      <w:pPr>
        <w:spacing w:after="0" w:line="183" w:lineRule="exact"/>
        <w:rPr>
          <w:sz w:val="20"/>
          <w:szCs w:val="20"/>
          <w:color w:val="auto"/>
        </w:rPr>
      </w:pPr>
    </w:p>
    <w:p>
      <w:pPr>
        <w:ind w:left="600" w:right="619" w:firstLine="330"/>
        <w:spacing w:after="0" w:line="278" w:lineRule="auto"/>
        <w:rPr>
          <w:sz w:val="20"/>
          <w:szCs w:val="20"/>
          <w:color w:val="auto"/>
        </w:rPr>
      </w:pPr>
      <w:r>
        <w:rPr>
          <w:rFonts w:ascii="Times New Roman" w:cs="Times New Roman" w:eastAsia="Times New Roman" w:hAnsi="Times New Roman"/>
          <w:sz w:val="17"/>
          <w:szCs w:val="17"/>
          <w:b w:val="1"/>
          <w:bCs w:val="1"/>
          <w:color w:val="auto"/>
        </w:rPr>
        <w:t>THE OFFER AND WITHDRAWAL RIGHTS WILL EXPIRE AT THE END OF THE DAY, EASTERN TIME, ON NOVEMBER 16, 2026 (ONE MINUTE AFTER 11:59 P.M., EASTERN TIME,</w:t>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ON NOVEMBER 16, 2026), UNLESS THE OFFER IS EXTENDED OR EARLIER TERMINATED.</w:t>
      </w:r>
    </w:p>
    <w:p>
      <w:pPr>
        <w:spacing w:after="0" w:line="2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October 30, 2026</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To Our Clients:</w:t>
      </w:r>
    </w:p>
    <w:p>
      <w:pPr>
        <w:spacing w:after="0" w:line="99"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Enclosed for your consideration are the Offer to Purchase, dated as of October 30, 2026, (as it may be amended or supplemented from time to time, the “Offer to Purchase”), and the related Letter of Transmittal (the “Letter of Transmittal” and, together with the Offer to Purchase and other related materials, as each may be amended or supplemented from time to time, the “Offer”), relating to the offer by Peach Purchaser Sub Inc., a Delaware corporation (“Purchaser”) and a wholly owned subsidiary of Viatris Inc., a Delaware corporation (“Viatris”), to purchase all of the issued and outstanding shares of common stock, par value $0.001 per share (the “Shares”), of Pacira BioSciences, Inc., a Delaware corporation (“Pacira”), at a price of $36.50 per Share, in cash, net of applicable withholding taxes and without interest (such amount, or any higher amount per Share paid pursuant to the Offer, the “Offer Price”), on the terms and subject to the conditions set forth in the Offer to Purchase and in the Letter of Transmittal.</w:t>
      </w:r>
    </w:p>
    <w:p>
      <w:pPr>
        <w:spacing w:after="0" w:line="1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Also enclosed is Pacira’s Solicitation/Recommendation Statement on Schedule 14D-9.</w:t>
      </w:r>
    </w:p>
    <w:p>
      <w:pPr>
        <w:spacing w:after="0" w:line="113" w:lineRule="exact"/>
        <w:rPr>
          <w:sz w:val="20"/>
          <w:szCs w:val="20"/>
          <w:color w:val="auto"/>
        </w:rPr>
      </w:pPr>
    </w:p>
    <w:p>
      <w:pPr>
        <w:ind w:left="300" w:right="107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OF PACIRA UNANIMOUSLY RECOMMENDS THAT YOU TENDER ALL OF YOUR SHARES PURSUANT TO THE OFFER.</w:t>
      </w:r>
    </w:p>
    <w:p>
      <w:pPr>
        <w:spacing w:after="0" w:line="47" w:lineRule="exact"/>
        <w:rPr>
          <w:sz w:val="20"/>
          <w:szCs w:val="20"/>
          <w:color w:val="auto"/>
        </w:rPr>
      </w:pPr>
    </w:p>
    <w:p>
      <w:pPr>
        <w:ind w:left="300" w:right="37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WE (OR OUR NOMINEES) ARE THE HOLDER OF RECORD OF SHARES HELD BY US FOR YOUR ACCOUNT. A TENDER OF SUCH SHARES CAN BE MADE ONLY BY US AS THE HOLDER OF RECORD AND PURSUANT TO YOUR INSTRUCTIONS. THE LETTER OF TRANSMITTAL IS FURNISHED TO YOU FOR YOUR INFORMATION ONLY AND CANNOT BE USED TO TENDER SHARES FOR YOUR ACCOUNT.</w:t>
      </w:r>
    </w:p>
    <w:p>
      <w:pPr>
        <w:spacing w:after="0" w:line="75" w:lineRule="exact"/>
        <w:rPr>
          <w:sz w:val="20"/>
          <w:szCs w:val="20"/>
          <w:color w:val="auto"/>
        </w:rPr>
      </w:pPr>
    </w:p>
    <w:p>
      <w:pPr>
        <w:ind w:left="300" w:right="579" w:firstLine="360"/>
        <w:spacing w:after="0" w:line="282" w:lineRule="auto"/>
        <w:rPr>
          <w:sz w:val="20"/>
          <w:szCs w:val="20"/>
          <w:color w:val="auto"/>
        </w:rPr>
      </w:pPr>
      <w:r>
        <w:rPr>
          <w:rFonts w:ascii="Times New Roman" w:cs="Times New Roman" w:eastAsia="Times New Roman" w:hAnsi="Times New Roman"/>
          <w:sz w:val="18"/>
          <w:szCs w:val="18"/>
          <w:color w:val="auto"/>
        </w:rPr>
        <w:t>We request instructions as to whether you wish to tender any or all of the Shares held by us for your account according to the terms and conditions set forth in the enclosed Offer.</w:t>
      </w:r>
    </w:p>
    <w:p>
      <w:pPr>
        <w:spacing w:after="0" w:line="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Your attention is directed to the following:</w:t>
      </w:r>
    </w:p>
    <w:p>
      <w:pPr>
        <w:spacing w:after="0" w:line="117" w:lineRule="exact"/>
        <w:rPr>
          <w:sz w:val="20"/>
          <w:szCs w:val="20"/>
          <w:color w:val="auto"/>
        </w:rPr>
      </w:pPr>
    </w:p>
    <w:p>
      <w:pPr>
        <w:ind w:left="1000" w:right="399" w:hanging="348"/>
        <w:spacing w:after="0" w:line="282" w:lineRule="auto"/>
        <w:tabs>
          <w:tab w:leader="none" w:pos="10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 Price for the Offer is $36.50 per Share, in cash, net of applicable withholding taxes and without interest.</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 is being made for all issued and outstanding Shares.</w:t>
      </w:r>
    </w:p>
    <w:p>
      <w:pPr>
        <w:spacing w:after="0" w:line="113" w:lineRule="exact"/>
        <w:rPr>
          <w:rFonts w:ascii="Times New Roman" w:cs="Times New Roman" w:eastAsia="Times New Roman" w:hAnsi="Times New Roman"/>
          <w:sz w:val="18"/>
          <w:szCs w:val="18"/>
          <w:color w:val="auto"/>
        </w:rPr>
      </w:pPr>
    </w:p>
    <w:p>
      <w:pPr>
        <w:ind w:left="1000" w:right="359" w:hanging="348"/>
        <w:spacing w:after="0" w:line="255" w:lineRule="auto"/>
        <w:tabs>
          <w:tab w:leader="none" w:pos="1000"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board of directors of Pacira, among other things, has unanimously (i) determined that the Agreement and Plan of Merger, dated October 8, 2026, by and among Viatris, Purchaser and Pacira (as it may be amended from time to time, the “Merger Agreement”) and the transactions contemplated thereby, including the Offer and the Merger (as defined below) (the “Transactions”), are fair to, and in the best interest of, Pacira and its stockholders, and declared it advisable for Pacira to enter into the Merger Agreement and consummate the Transactions, (ii) approved the execution, delivery and performance by Pacira of the Merger Agreement and the consummation of the Transactions, (iii) resolved that the Merger will be effected under Section 251(h) of the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114300</wp:posOffset>
            </wp:positionV>
            <wp:extent cx="699516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95" w:name="page96"/>
    <w:bookmarkEnd w:id="95"/>
    <w:p>
      <w:pPr>
        <w:ind w:left="1020" w:right="519"/>
        <w:spacing w:after="0" w:line="286" w:lineRule="auto"/>
        <w:rPr>
          <w:sz w:val="20"/>
          <w:szCs w:val="20"/>
          <w:color w:val="auto"/>
        </w:rPr>
      </w:pPr>
      <w:r>
        <w:rPr>
          <w:rFonts w:ascii="Times New Roman" w:cs="Times New Roman" w:eastAsia="Times New Roman" w:hAnsi="Times New Roman"/>
          <w:sz w:val="18"/>
          <w:szCs w:val="18"/>
          <w:b w:val="1"/>
          <w:bCs w:val="1"/>
          <w:color w:val="auto"/>
        </w:rPr>
        <w:t>Corporation Law of the State of Delaware (the “DGCL”) and (iv) resolved to recommend that the stockholders of Pacira tender their Shares to Purchaser pursuant to the Offer.</w:t>
      </w:r>
    </w:p>
    <w:p>
      <w:pPr>
        <w:spacing w:after="0" w:line="51" w:lineRule="exact"/>
        <w:rPr>
          <w:sz w:val="20"/>
          <w:szCs w:val="20"/>
          <w:color w:val="auto"/>
        </w:rPr>
      </w:pPr>
    </w:p>
    <w:p>
      <w:pPr>
        <w:ind w:left="1000" w:right="359" w:hanging="348"/>
        <w:spacing w:after="0" w:line="254" w:lineRule="auto"/>
        <w:tabs>
          <w:tab w:leader="none" w:pos="10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 is being made pursuant to the Merger Agreement. The Merger Agreement provides, among other things, that as soon as practicable following the consummation of the Offer, on the terms and subject to the conditions set forth in the Merger Agreement and in accordance with the DGCL, Purchaser will be merged with and into Pacira (the “Merger”), with Pacira continuing as the surviving corporation in the Merger and as a wholly owned subsidiary of Viatris. Upon the terms and subject to the conditions set forth in the Merger Agreement and in accordance with Section 251(h) of the DGCL, the Merger will become effective upon the date and time of the filing of a certificate of merger with the Secretary of State of the State of Delaware or such later date and time as is agreed upon in writing by Viatris, Purchaser and Pacira and specified in the certificate of merger (the “Effective Time”).</w:t>
      </w:r>
    </w:p>
    <w:p>
      <w:pPr>
        <w:spacing w:after="0" w:line="80" w:lineRule="exact"/>
        <w:rPr>
          <w:rFonts w:ascii="Times New Roman" w:cs="Times New Roman" w:eastAsia="Times New Roman" w:hAnsi="Times New Roman"/>
          <w:sz w:val="18"/>
          <w:szCs w:val="18"/>
          <w:color w:val="auto"/>
        </w:rPr>
      </w:pPr>
    </w:p>
    <w:p>
      <w:pPr>
        <w:ind w:left="1000" w:right="299" w:hanging="348"/>
        <w:spacing w:after="0" w:line="253" w:lineRule="auto"/>
        <w:tabs>
          <w:tab w:leader="none" w:pos="10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Effective Time, each Share issued and outstanding immediately prior to the Effective Time (other than Shares held (i) by Pacira or any of its subsidiaries (including in Pacira’s treasury), (ii) by Viatris, Purchaser or any other direct or indirect wholly owned subsidiary of Viatris, which Shares will be canceled and will cease to exist, and no consideration will be delivered in exchange therefor, or (iii) by Pacira stockholders who are entitled to demand appraisal rights under, and have properly exercised and perfected their respective demands for appraisal of such Shares in the time and manner provided in, Section 262 of the DGCL and, as of the Effective Time, have neither effectively withdrawn nor lost their rights to such appraisal and payment under the DGCL) will be converted into the right to receive the Offer Price, without interest, subject to any applicable withholding taxes. As a result of the Merger, Pacira will cease to be a publicly traded company and will become a wholly owned subsidiary of Viatris.</w:t>
      </w:r>
    </w:p>
    <w:p>
      <w:pPr>
        <w:spacing w:after="0" w:line="86" w:lineRule="exact"/>
        <w:rPr>
          <w:rFonts w:ascii="Times New Roman" w:cs="Times New Roman" w:eastAsia="Times New Roman" w:hAnsi="Times New Roman"/>
          <w:sz w:val="18"/>
          <w:szCs w:val="18"/>
          <w:color w:val="auto"/>
        </w:rPr>
      </w:pPr>
    </w:p>
    <w:p>
      <w:pPr>
        <w:ind w:left="1000" w:right="359" w:hanging="348"/>
        <w:spacing w:after="0" w:line="256" w:lineRule="auto"/>
        <w:tabs>
          <w:tab w:leader="none" w:pos="10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 AND ANY WITHDRAWAL RIGHTS WILL EXPIRE AT THE END OF THE DAY, EASTERN TIME, ON NOVEMBER 16, 2026 (ONE MINUTE AFTER 11:59 P.M., EASTERN TIME, ON NOVEMBER 16, 2026) (THE “EXPIRATION DATE”), UNLESS THE OFFER IS EXTENDED PURSUANT TO AND IN ACCORDANCE WITH THE MERGER AGREEMENT (IN WHICH EVENT THE “EXPIRATION DATE” WILL MEAN THE LATEST TIME AND DATE AT WHICH THE OFFER, AS SO EXTENDED BY PURCHASER, WILL EXPIRE).</w:t>
      </w:r>
    </w:p>
    <w:p>
      <w:pPr>
        <w:spacing w:after="0" w:line="79" w:lineRule="exact"/>
        <w:rPr>
          <w:rFonts w:ascii="Times New Roman" w:cs="Times New Roman" w:eastAsia="Times New Roman" w:hAnsi="Times New Roman"/>
          <w:sz w:val="18"/>
          <w:szCs w:val="18"/>
          <w:color w:val="auto"/>
        </w:rPr>
      </w:pPr>
    </w:p>
    <w:p>
      <w:pPr>
        <w:ind w:left="1000" w:right="319" w:hanging="348"/>
        <w:spacing w:after="0" w:line="252" w:lineRule="auto"/>
        <w:tabs>
          <w:tab w:leader="none" w:pos="10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 is conditioned on, among other things, that as of immediately prior to the expiration of the Offer, the number of Shares validly tendered (and not validly withdrawn) prior to the time that the Offer expires (but excluding Shares tendered pursuant to guaranteed delivery procedures that have not yet been “received”, as defined by Section 251(h)(6)(f) of the DGCL by the “depository” (as such term is defined in Section 251(h)(6)(c) of the DGCL)) (as described in more detail in Section 3—“Procedures for Accepting the Offer and Tendering Shares” of the Offer to Purchase), together with the Shares then owned by Purchaser and its “affiliates” (as such term is defined in Section 251(h)(6)(a) of the DGCL), represents at least one Share more than 50% of the then-issued and outstanding Shares. The Offer is also subject to certain other conditions set forth in the Offer to Purchase, including the expiration or termination of any applicable waiting period (or any extension thereof) under the Hart-Scott-Rodino Antitrust Improvements Act of 1976, as amended, the absence, since October 8, 2026, of any Material Adverse Effect (as defined in the Offer to Purchase) that is continuing as of the Offer Acceptance Time (as defined in the Offer to Purchase), and other customary conditions as described in Section 15—“Conditions to the Offer” of the Offer to Purchase.</w:t>
      </w:r>
    </w:p>
    <w:p>
      <w:pPr>
        <w:spacing w:after="0" w:line="89"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consummation of the Offer nor the Merger is subject to any financing condition.</w:t>
      </w:r>
    </w:p>
    <w:p>
      <w:pPr>
        <w:spacing w:after="0" w:line="117" w:lineRule="exact"/>
        <w:rPr>
          <w:rFonts w:ascii="Times New Roman" w:cs="Times New Roman" w:eastAsia="Times New Roman" w:hAnsi="Times New Roman"/>
          <w:sz w:val="18"/>
          <w:szCs w:val="18"/>
          <w:color w:val="auto"/>
        </w:rPr>
      </w:pPr>
    </w:p>
    <w:p>
      <w:pPr>
        <w:ind w:left="1000" w:right="559" w:hanging="348"/>
        <w:spacing w:after="0" w:line="282" w:lineRule="auto"/>
        <w:tabs>
          <w:tab w:leader="none" w:pos="10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conditions to the Offer are described in more detail in Section 15—“Conditions to the Offer” of the Offer to Purchase.</w:t>
      </w:r>
    </w:p>
    <w:p>
      <w:pPr>
        <w:spacing w:after="0" w:line="53" w:lineRule="exact"/>
        <w:rPr>
          <w:rFonts w:ascii="Times New Roman" w:cs="Times New Roman" w:eastAsia="Times New Roman" w:hAnsi="Times New Roman"/>
          <w:sz w:val="18"/>
          <w:szCs w:val="18"/>
          <w:color w:val="auto"/>
        </w:rPr>
      </w:pPr>
    </w:p>
    <w:p>
      <w:pPr>
        <w:ind w:left="1000" w:right="379" w:hanging="348"/>
        <w:spacing w:after="0" w:line="256" w:lineRule="auto"/>
        <w:tabs>
          <w:tab w:leader="none" w:pos="10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Tendering stockholders who are record owners of their Shares and who tender directly to Equiniti Trust Company, LLC, the depositary and paying agent for the Offer (the “Depositary”), will not be obligated to pay brokerage fees or commissions or, except as otherwise provided in Instruction 6 of the Letter of Transmittal, stock transfer taxes with respect to the purchase of Shares by Purchaser pursuant to the Offer. Stockholders who hold their Shares through a broker, dealer, commercial bank, trust company or other nominee should consult such institution as to whether it charges any service fees or commissions.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104775</wp:posOffset>
            </wp:positionV>
            <wp:extent cx="699516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39" w:right="1440" w:bottom="1440" w:gutter="0" w:footer="0" w:header="0"/>
        </w:sectPr>
      </w:pPr>
    </w:p>
    <w:bookmarkStart w:id="96" w:name="page97"/>
    <w:bookmarkEnd w:id="96"/>
    <w:p>
      <w:pPr>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If you wish to have us tender any or all of the Shares held by us for your account, please so instruct us by completing, executing, detaching and returning to us the instruction form on the detachable part hereof. An envelope to return your instructions to us is enclosed. If you instruct us to tender your Shares, all such Shares will be tendered unless otherwise specified on the detachable part hereof.</w:t>
      </w:r>
    </w:p>
    <w:p>
      <w:pPr>
        <w:spacing w:after="0" w:line="68" w:lineRule="exact"/>
        <w:rPr>
          <w:sz w:val="20"/>
          <w:szCs w:val="20"/>
          <w:color w:val="auto"/>
        </w:rPr>
      </w:pPr>
    </w:p>
    <w:p>
      <w:pPr>
        <w:ind w:left="300" w:right="43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YOUR INSTRUCTIONS SHOULD BE FORWARDED TO US IN AMPLE TIME TO PERMIT US TO SUBMIT A TENDER ON YOUR BEHALF BEFORE THE EXPIRATION DATE.</w:t>
      </w:r>
    </w:p>
    <w:p>
      <w:pPr>
        <w:spacing w:after="0" w:line="51" w:lineRule="exact"/>
        <w:rPr>
          <w:sz w:val="20"/>
          <w:szCs w:val="20"/>
          <w:color w:val="auto"/>
        </w:rPr>
      </w:pPr>
    </w:p>
    <w:p>
      <w:pPr>
        <w:ind w:left="300" w:right="379" w:firstLine="360"/>
        <w:spacing w:after="0" w:line="254" w:lineRule="auto"/>
        <w:rPr>
          <w:sz w:val="20"/>
          <w:szCs w:val="20"/>
          <w:color w:val="auto"/>
        </w:rPr>
      </w:pPr>
      <w:r>
        <w:rPr>
          <w:rFonts w:ascii="Times New Roman" w:cs="Times New Roman" w:eastAsia="Times New Roman" w:hAnsi="Times New Roman"/>
          <w:sz w:val="18"/>
          <w:szCs w:val="18"/>
          <w:color w:val="auto"/>
        </w:rPr>
        <w:t>In all cases, payment for Shares validly tendered, not validly withdrawn and accepted for payment pursuant to the Offer will be made only after timely receipt by the Depositary of (i) the certificates evidencing such Shares, if any, or confirmation of a book-entry transfer of such Shares into the Depositary’s account at The Depository Trust Company pursuant to the procedures set forth in Section 3—“Procedures for Accepting the Offer and Tendering Shares” of the Offer to Purchase, (ii) the Letter of Transmittal, properly completed and duly executed, with any required signature guarantees or, in the case of a book-entry transfer, an Agent’s Message (as defined in the Offer to Purchase) in lieu of the Letter of Transmittal and (iii) any other documents required by the Letter of Transmittal. Accordingly, tendering stockholders may be paid at different times depending upon when the foregoing documents with respect to Shares are actually received by the Depositary.</w:t>
      </w:r>
    </w:p>
    <w:p>
      <w:pPr>
        <w:spacing w:after="0" w:line="76" w:lineRule="exact"/>
        <w:rPr>
          <w:sz w:val="20"/>
          <w:szCs w:val="20"/>
          <w:color w:val="auto"/>
        </w:rPr>
      </w:pPr>
    </w:p>
    <w:p>
      <w:pPr>
        <w:ind w:left="300" w:right="31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UNDER NO CIRCUMSTANCES WILL INTEREST BE PAID ON THE OFFER PRICE FOR SHARES, REGARDLESS OF ANY EXTENSION OF THE OFFER OR ANY DELAY IN MAKING PAYMENT FOR SHARES.</w:t>
      </w:r>
    </w:p>
    <w:p>
      <w:pPr>
        <w:spacing w:after="0" w:line="67"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The Offer is not being made to holders of Shares in any jurisdiction in which the making of the Offer would not be in compliance with the securities, blue sky or other laws of such jurisdiction. In those jurisdictions where applicable laws or regulations require the Offer to be made by a licensed broker or dealer, the Offer will be deemed to be made on behalf of Purchaser by one or more registered brokers or dealers licensed under the laws of such jurisdiction to be designated by 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102235</wp:posOffset>
            </wp:positionV>
            <wp:extent cx="699516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97" w:name="page98"/>
    <w:bookmarkEnd w:id="97"/>
    <w:p>
      <w:pPr>
        <w:jc w:val="center"/>
        <w:spacing w:after="0"/>
        <w:rPr>
          <w:sz w:val="20"/>
          <w:szCs w:val="20"/>
          <w:color w:val="auto"/>
        </w:rPr>
      </w:pPr>
      <w:r>
        <w:rPr>
          <w:rFonts w:ascii="Times New Roman" w:cs="Times New Roman" w:eastAsia="Times New Roman" w:hAnsi="Times New Roman"/>
          <w:sz w:val="18"/>
          <w:szCs w:val="18"/>
          <w:b w:val="1"/>
          <w:bCs w:val="1"/>
          <w:color w:val="auto"/>
        </w:rPr>
        <w:t>INSTRUCTION FORM</w:t>
      </w:r>
    </w:p>
    <w:p>
      <w:pPr>
        <w:spacing w:after="0" w:line="31"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with Respect to the</w:t>
      </w:r>
    </w:p>
    <w:p>
      <w:pPr>
        <w:spacing w:after="0" w:line="9"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Offer to Purchase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Outstanding Shares of Common Stock</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PACIRA BIOSCIENCES, INC.</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w:t>
      </w:r>
    </w:p>
    <w:p>
      <w:pPr>
        <w:spacing w:after="0" w:line="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$36.50 per share, net in cash, pursuant to the Offer to Purchase, dated October 30,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PEACH PURCHASER SUB INC.</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wholly owned subsidiary of</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VIATRIS INC.</w:t>
      </w:r>
    </w:p>
    <w:p>
      <w:pPr>
        <w:spacing w:after="0" w:line="99" w:lineRule="exact"/>
        <w:rPr>
          <w:sz w:val="20"/>
          <w:szCs w:val="20"/>
          <w:color w:val="auto"/>
        </w:rPr>
      </w:pPr>
    </w:p>
    <w:p>
      <w:pPr>
        <w:ind w:left="300" w:right="319"/>
        <w:spacing w:after="0" w:line="261" w:lineRule="auto"/>
        <w:rPr>
          <w:sz w:val="20"/>
          <w:szCs w:val="20"/>
          <w:color w:val="auto"/>
        </w:rPr>
      </w:pPr>
      <w:r>
        <w:rPr>
          <w:rFonts w:ascii="Times New Roman" w:cs="Times New Roman" w:eastAsia="Times New Roman" w:hAnsi="Times New Roman"/>
          <w:sz w:val="18"/>
          <w:szCs w:val="18"/>
          <w:color w:val="auto"/>
        </w:rPr>
        <w:t>The undersigned acknowledge(s) receipt of your letter, the Offer to Purchase, dated as of October 30, 2026 (as it may be amended or supplemented from time to time, the “Offer to Purchase”), and the related Letter of Transmittal (the “Letter of Transmittal”) relating to shares of common stock, par value $0.001 per share (the “Shares”), of Pacira BioSciences, Inc., a Delaware corporation.</w:t>
      </w:r>
    </w:p>
    <w:p>
      <w:pPr>
        <w:spacing w:after="0" w:line="72" w:lineRule="exact"/>
        <w:rPr>
          <w:sz w:val="20"/>
          <w:szCs w:val="20"/>
          <w:color w:val="auto"/>
        </w:rPr>
      </w:pPr>
    </w:p>
    <w:p>
      <w:pPr>
        <w:ind w:left="300" w:right="859"/>
        <w:spacing w:after="0" w:line="266" w:lineRule="auto"/>
        <w:rPr>
          <w:sz w:val="20"/>
          <w:szCs w:val="20"/>
          <w:color w:val="auto"/>
        </w:rPr>
      </w:pPr>
      <w:r>
        <w:rPr>
          <w:rFonts w:ascii="Times New Roman" w:cs="Times New Roman" w:eastAsia="Times New Roman" w:hAnsi="Times New Roman"/>
          <w:sz w:val="18"/>
          <w:szCs w:val="18"/>
          <w:color w:val="auto"/>
        </w:rPr>
        <w:t>This will instruct you to tender the number of Shares indicated below held by you for the account of the undersigned, on the terms and subject to the conditions set forth in the Offer to Purchase and related Letter of Transmittal.</w:t>
      </w:r>
    </w:p>
    <w:p>
      <w:pPr>
        <w:spacing w:after="0" w:line="68" w:lineRule="exact"/>
        <w:rPr>
          <w:sz w:val="20"/>
          <w:szCs w:val="20"/>
          <w:color w:val="auto"/>
        </w:rPr>
      </w:pPr>
    </w:p>
    <w:p>
      <w:pPr>
        <w:ind w:left="300" w:right="359"/>
        <w:spacing w:after="0" w:line="261" w:lineRule="auto"/>
        <w:rPr>
          <w:sz w:val="20"/>
          <w:szCs w:val="20"/>
          <w:color w:val="auto"/>
        </w:rPr>
      </w:pPr>
      <w:r>
        <w:rPr>
          <w:rFonts w:ascii="Times New Roman" w:cs="Times New Roman" w:eastAsia="Times New Roman" w:hAnsi="Times New Roman"/>
          <w:sz w:val="18"/>
          <w:szCs w:val="18"/>
          <w:color w:val="auto"/>
        </w:rPr>
        <w:t>The undersigned understands and acknowledges that all questions as to validity, form and eligibility of the tender of any certificate representing Shares submitted on behalf of the undersigned to Equiniti Trust Company, LLC (the “Depositary”) will be determined by Peach Purchaser Sub Inc. (which may delegate power in whole or in part to the Depositary) and such determination shall be final and binding.</w:t>
      </w:r>
    </w:p>
    <w:p>
      <w:pPr>
        <w:spacing w:after="0" w:line="126" w:lineRule="exact"/>
        <w:rPr>
          <w:sz w:val="20"/>
          <w:szCs w:val="20"/>
          <w:color w:val="auto"/>
        </w:rPr>
      </w:pPr>
    </w:p>
    <w:tbl>
      <w:tblPr>
        <w:tblLayout w:type="fixed"/>
        <w:tblInd w:w="300" w:type="dxa"/>
        <w:tblCellMar>
          <w:top w:w="0" w:type="dxa"/>
          <w:left w:w="0" w:type="dxa"/>
          <w:bottom w:w="0" w:type="dxa"/>
          <w:right w:w="0" w:type="dxa"/>
        </w:tblCellMar>
      </w:tblPr>
      <w:tr>
        <w:trPr>
          <w:trHeight w:val="333"/>
        </w:trPr>
        <w:tc>
          <w:tcPr>
            <w:tcW w:w="368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auto"/>
                <w:w w:val="98"/>
              </w:rPr>
              <w:t>NUMBER OF SHARES TO BE TENDERED</w:t>
            </w:r>
            <w:r>
              <w:rPr>
                <w:rFonts w:ascii="Times New Roman" w:cs="Times New Roman" w:eastAsia="Times New Roman" w:hAnsi="Times New Roman"/>
                <w:sz w:val="29"/>
                <w:szCs w:val="29"/>
                <w:b w:val="1"/>
                <w:bCs w:val="1"/>
                <w:color w:val="auto"/>
                <w:w w:val="98"/>
                <w:vertAlign w:val="superscript"/>
              </w:rPr>
              <w:t>(1)</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SIGN HERE</w:t>
            </w:r>
          </w:p>
        </w:tc>
      </w:tr>
      <w:tr>
        <w:trPr>
          <w:trHeight w:val="198"/>
        </w:trPr>
        <w:tc>
          <w:tcPr>
            <w:tcW w:w="520" w:type="dxa"/>
            <w:vAlign w:val="bottom"/>
            <w:tcBorders>
              <w:bottom w:val="single" w:sz="8" w:color="auto"/>
            </w:tcBorders>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 xml:space="preserve">       </w:t>
            </w:r>
          </w:p>
        </w:tc>
        <w:tc>
          <w:tcPr>
            <w:tcW w:w="180" w:type="dxa"/>
            <w:vAlign w:val="bottom"/>
            <w:tcBorders>
              <w:bottom w:val="single" w:sz="8" w:color="auto"/>
            </w:tcBorders>
          </w:tcPr>
          <w:p>
            <w:pPr>
              <w:ind w:left="20"/>
              <w:spacing w:after="0" w:line="198" w:lineRule="exact"/>
              <w:rPr>
                <w:sz w:val="20"/>
                <w:szCs w:val="20"/>
                <w:color w:val="auto"/>
              </w:rPr>
            </w:pPr>
            <w:r>
              <w:rPr>
                <w:rFonts w:ascii="Times New Roman" w:cs="Times New Roman" w:eastAsia="Times New Roman" w:hAnsi="Times New Roman"/>
                <w:sz w:val="18"/>
                <w:szCs w:val="18"/>
                <w:b w:val="1"/>
                <w:bCs w:val="1"/>
                <w:color w:val="auto"/>
                <w:w w:val="77"/>
              </w:rPr>
              <w:t> </w:t>
            </w:r>
          </w:p>
        </w:tc>
        <w:tc>
          <w:tcPr>
            <w:tcW w:w="180" w:type="dxa"/>
            <w:vAlign w:val="bottom"/>
            <w:tcBorders>
              <w:bottom w:val="single" w:sz="8" w:color="auto"/>
            </w:tcBorders>
          </w:tcPr>
          <w:p>
            <w:pPr>
              <w:ind w:left="20"/>
              <w:spacing w:after="0" w:line="198" w:lineRule="exact"/>
              <w:rPr>
                <w:sz w:val="20"/>
                <w:szCs w:val="20"/>
                <w:color w:val="auto"/>
              </w:rPr>
            </w:pPr>
            <w:r>
              <w:rPr>
                <w:rFonts w:ascii="Times New Roman" w:cs="Times New Roman" w:eastAsia="Times New Roman" w:hAnsi="Times New Roman"/>
                <w:sz w:val="18"/>
                <w:szCs w:val="18"/>
                <w:b w:val="1"/>
                <w:bCs w:val="1"/>
                <w:color w:val="auto"/>
                <w:w w:val="77"/>
              </w:rPr>
              <w:t> </w:t>
            </w:r>
          </w:p>
        </w:tc>
        <w:tc>
          <w:tcPr>
            <w:tcW w:w="180" w:type="dxa"/>
            <w:vAlign w:val="bottom"/>
            <w:tcBorders>
              <w:bottom w:val="single" w:sz="8" w:color="auto"/>
            </w:tcBorders>
          </w:tcPr>
          <w:p>
            <w:pPr>
              <w:ind w:left="20"/>
              <w:spacing w:after="0" w:line="198" w:lineRule="exact"/>
              <w:rPr>
                <w:sz w:val="20"/>
                <w:szCs w:val="20"/>
                <w:color w:val="auto"/>
              </w:rPr>
            </w:pPr>
            <w:r>
              <w:rPr>
                <w:rFonts w:ascii="Times New Roman" w:cs="Times New Roman" w:eastAsia="Times New Roman" w:hAnsi="Times New Roman"/>
                <w:sz w:val="18"/>
                <w:szCs w:val="18"/>
                <w:b w:val="1"/>
                <w:bCs w:val="1"/>
                <w:color w:val="auto"/>
                <w:w w:val="77"/>
              </w:rPr>
              <w:t> </w:t>
            </w:r>
          </w:p>
        </w:tc>
        <w:tc>
          <w:tcPr>
            <w:tcW w:w="280" w:type="dxa"/>
            <w:vAlign w:val="bottom"/>
            <w:tcBorders>
              <w:bottom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rPr>
              <w:t xml:space="preserve">    </w:t>
            </w:r>
          </w:p>
        </w:tc>
        <w:tc>
          <w:tcPr>
            <w:tcW w:w="1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8"/>
                <w:szCs w:val="8"/>
                <w:b w:val="1"/>
                <w:bCs w:val="1"/>
                <w:color w:val="auto"/>
                <w:w w:val="74"/>
              </w:rPr>
              <w:t> </w:t>
            </w:r>
          </w:p>
        </w:tc>
        <w:tc>
          <w:tcPr>
            <w:tcW w:w="1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8"/>
                <w:szCs w:val="8"/>
                <w:b w:val="1"/>
                <w:bCs w:val="1"/>
                <w:color w:val="auto"/>
                <w:w w:val="74"/>
              </w:rPr>
              <w:t> </w:t>
            </w:r>
          </w:p>
        </w:tc>
        <w:tc>
          <w:tcPr>
            <w:tcW w:w="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4"/>
                <w:szCs w:val="4"/>
                <w:b w:val="1"/>
                <w:bCs w:val="1"/>
                <w:color w:val="auto"/>
                <w:w w:val="98"/>
              </w:rPr>
              <w:t> </w:t>
            </w:r>
          </w:p>
        </w:tc>
        <w:tc>
          <w:tcPr>
            <w:tcW w:w="180" w:type="dxa"/>
            <w:vAlign w:val="bottom"/>
            <w:tcBorders>
              <w:bottom w:val="single" w:sz="8" w:color="auto"/>
            </w:tcBorders>
          </w:tcPr>
          <w:p>
            <w:pPr>
              <w:ind w:left="20"/>
              <w:spacing w:after="0" w:line="198" w:lineRule="exact"/>
              <w:rPr>
                <w:sz w:val="20"/>
                <w:szCs w:val="20"/>
                <w:color w:val="auto"/>
              </w:rPr>
            </w:pPr>
            <w:r>
              <w:rPr>
                <w:rFonts w:ascii="Times New Roman" w:cs="Times New Roman" w:eastAsia="Times New Roman" w:hAnsi="Times New Roman"/>
                <w:sz w:val="18"/>
                <w:szCs w:val="18"/>
                <w:b w:val="1"/>
                <w:bCs w:val="1"/>
                <w:color w:val="auto"/>
                <w:w w:val="77"/>
              </w:rPr>
              <w:t> </w:t>
            </w:r>
          </w:p>
        </w:tc>
        <w:tc>
          <w:tcPr>
            <w:tcW w:w="180" w:type="dxa"/>
            <w:vAlign w:val="bottom"/>
            <w:tcBorders>
              <w:bottom w:val="single" w:sz="8" w:color="auto"/>
            </w:tcBorders>
          </w:tcPr>
          <w:p>
            <w:pPr>
              <w:ind w:left="20"/>
              <w:spacing w:after="0" w:line="198" w:lineRule="exact"/>
              <w:rPr>
                <w:sz w:val="20"/>
                <w:szCs w:val="20"/>
                <w:color w:val="auto"/>
              </w:rPr>
            </w:pPr>
            <w:r>
              <w:rPr>
                <w:rFonts w:ascii="Times New Roman" w:cs="Times New Roman" w:eastAsia="Times New Roman" w:hAnsi="Times New Roman"/>
                <w:sz w:val="18"/>
                <w:szCs w:val="18"/>
                <w:b w:val="1"/>
                <w:bCs w:val="1"/>
                <w:color w:val="auto"/>
                <w:w w:val="77"/>
              </w:rPr>
              <w:t> </w:t>
            </w:r>
          </w:p>
        </w:tc>
        <w:tc>
          <w:tcPr>
            <w:tcW w:w="180" w:type="dxa"/>
            <w:vAlign w:val="bottom"/>
            <w:tcBorders>
              <w:bottom w:val="single" w:sz="8" w:color="auto"/>
            </w:tcBorders>
          </w:tcPr>
          <w:p>
            <w:pPr>
              <w:ind w:left="20"/>
              <w:spacing w:after="0" w:line="198" w:lineRule="exact"/>
              <w:rPr>
                <w:sz w:val="20"/>
                <w:szCs w:val="20"/>
                <w:color w:val="auto"/>
              </w:rPr>
            </w:pPr>
            <w:r>
              <w:rPr>
                <w:rFonts w:ascii="Times New Roman" w:cs="Times New Roman" w:eastAsia="Times New Roman" w:hAnsi="Times New Roman"/>
                <w:sz w:val="18"/>
                <w:szCs w:val="18"/>
                <w:b w:val="1"/>
                <w:bCs w:val="1"/>
                <w:color w:val="auto"/>
                <w:w w:val="77"/>
              </w:rPr>
              <w:t> </w:t>
            </w:r>
          </w:p>
        </w:tc>
        <w:tc>
          <w:tcPr>
            <w:tcW w:w="180" w:type="dxa"/>
            <w:vAlign w:val="bottom"/>
            <w:tcBorders>
              <w:bottom w:val="single" w:sz="8" w:color="auto"/>
            </w:tcBorders>
          </w:tcPr>
          <w:p>
            <w:pPr>
              <w:ind w:left="20"/>
              <w:spacing w:after="0" w:line="198" w:lineRule="exact"/>
              <w:rPr>
                <w:sz w:val="20"/>
                <w:szCs w:val="20"/>
                <w:color w:val="auto"/>
              </w:rPr>
            </w:pPr>
            <w:r>
              <w:rPr>
                <w:rFonts w:ascii="Times New Roman" w:cs="Times New Roman" w:eastAsia="Times New Roman" w:hAnsi="Times New Roman"/>
                <w:sz w:val="18"/>
                <w:szCs w:val="18"/>
                <w:b w:val="1"/>
                <w:bCs w:val="1"/>
                <w:color w:val="auto"/>
                <w:w w:val="77"/>
              </w:rPr>
              <w:t> </w:t>
            </w:r>
          </w:p>
        </w:tc>
        <w:tc>
          <w:tcPr>
            <w:tcW w:w="280" w:type="dxa"/>
            <w:vAlign w:val="bottom"/>
            <w:tcBorders>
              <w:bottom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rPr>
              <w:t xml:space="preserve">    </w:t>
            </w:r>
          </w:p>
        </w:tc>
        <w:tc>
          <w:tcPr>
            <w:tcW w:w="1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8"/>
                <w:szCs w:val="8"/>
                <w:b w:val="1"/>
                <w:bCs w:val="1"/>
                <w:color w:val="auto"/>
                <w:w w:val="74"/>
              </w:rPr>
              <w:t> </w:t>
            </w:r>
          </w:p>
        </w:tc>
        <w:tc>
          <w:tcPr>
            <w:tcW w:w="1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8"/>
                <w:szCs w:val="8"/>
                <w:b w:val="1"/>
                <w:bCs w:val="1"/>
                <w:color w:val="auto"/>
                <w:w w:val="74"/>
              </w:rPr>
              <w:t> </w:t>
            </w:r>
          </w:p>
        </w:tc>
        <w:tc>
          <w:tcPr>
            <w:tcW w:w="1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8"/>
                <w:szCs w:val="8"/>
                <w:b w:val="1"/>
                <w:bCs w:val="1"/>
                <w:color w:val="auto"/>
                <w:w w:val="74"/>
              </w:rPr>
              <w:t> </w:t>
            </w:r>
          </w:p>
        </w:tc>
        <w:tc>
          <w:tcPr>
            <w:tcW w:w="1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8"/>
                <w:szCs w:val="8"/>
                <w:b w:val="1"/>
                <w:bCs w:val="1"/>
                <w:color w:val="auto"/>
                <w:w w:val="74"/>
              </w:rPr>
              <w:t> </w:t>
            </w:r>
          </w:p>
        </w:tc>
        <w:tc>
          <w:tcPr>
            <w:tcW w:w="100" w:type="dxa"/>
            <w:vAlign w:val="bottom"/>
            <w:tcBorders>
              <w:bottom w:val="single" w:sz="8" w:color="auto"/>
            </w:tcBorders>
          </w:tcPr>
          <w:p>
            <w:pPr>
              <w:spacing w:after="0"/>
              <w:rPr>
                <w:sz w:val="17"/>
                <w:szCs w:val="17"/>
                <w:color w:val="auto"/>
              </w:rPr>
            </w:pPr>
          </w:p>
        </w:tc>
        <w:tc>
          <w:tcPr>
            <w:tcW w:w="464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Shares</w:t>
            </w:r>
          </w:p>
        </w:tc>
      </w:tr>
      <w:tr>
        <w:trPr>
          <w:trHeight w:val="48"/>
        </w:trPr>
        <w:tc>
          <w:tcPr>
            <w:tcW w:w="5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460" w:type="dxa"/>
            <w:vAlign w:val="bottom"/>
          </w:tcPr>
          <w:p>
            <w:pPr>
              <w:spacing w:after="0"/>
              <w:rPr>
                <w:sz w:val="4"/>
                <w:szCs w:val="4"/>
                <w:color w:val="auto"/>
              </w:rPr>
            </w:pPr>
          </w:p>
        </w:tc>
        <w:tc>
          <w:tcPr>
            <w:tcW w:w="2700" w:type="dxa"/>
            <w:vAlign w:val="bottom"/>
            <w:tcBorders>
              <w:bottom w:val="single" w:sz="8" w:color="auto"/>
            </w:tcBorders>
          </w:tcPr>
          <w:p>
            <w:pPr>
              <w:spacing w:after="0"/>
              <w:rPr>
                <w:sz w:val="4"/>
                <w:szCs w:val="4"/>
                <w:color w:val="auto"/>
              </w:rPr>
            </w:pPr>
          </w:p>
        </w:tc>
      </w:tr>
      <w:tr>
        <w:trPr>
          <w:trHeight w:val="264"/>
        </w:trPr>
        <w:tc>
          <w:tcPr>
            <w:tcW w:w="5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700" w:type="dxa"/>
            <w:vAlign w:val="bottom"/>
            <w:tcBorders>
              <w:bottom w:val="single" w:sz="8" w:color="auto"/>
            </w:tcBorders>
          </w:tcPr>
          <w:p>
            <w:pPr>
              <w:spacing w:after="0"/>
              <w:rPr>
                <w:sz w:val="22"/>
                <w:szCs w:val="22"/>
                <w:color w:val="auto"/>
              </w:rPr>
            </w:pPr>
          </w:p>
        </w:tc>
      </w:tr>
      <w:tr>
        <w:trPr>
          <w:trHeight w:val="237"/>
        </w:trPr>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(Signature(s))</w:t>
            </w:r>
          </w:p>
        </w:tc>
      </w:tr>
      <w:tr>
        <w:trPr>
          <w:trHeight w:val="270"/>
        </w:trPr>
        <w:tc>
          <w:tcPr>
            <w:tcW w:w="5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700" w:type="dxa"/>
            <w:vAlign w:val="bottom"/>
            <w:tcBorders>
              <w:bottom w:val="single" w:sz="8" w:color="auto"/>
            </w:tcBorders>
          </w:tcPr>
          <w:p>
            <w:pPr>
              <w:spacing w:after="0"/>
              <w:rPr>
                <w:sz w:val="23"/>
                <w:szCs w:val="23"/>
                <w:color w:val="auto"/>
              </w:rPr>
            </w:pPr>
          </w:p>
        </w:tc>
      </w:tr>
      <w:tr>
        <w:trPr>
          <w:trHeight w:val="263"/>
        </w:trPr>
        <w:tc>
          <w:tcPr>
            <w:tcW w:w="5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700" w:type="dxa"/>
            <w:vAlign w:val="bottom"/>
            <w:tcBorders>
              <w:bottom w:val="single" w:sz="8" w:color="auto"/>
            </w:tcBorders>
          </w:tcPr>
          <w:p>
            <w:pPr>
              <w:spacing w:after="0"/>
              <w:rPr>
                <w:sz w:val="22"/>
                <w:szCs w:val="22"/>
                <w:color w:val="auto"/>
              </w:rPr>
            </w:pPr>
          </w:p>
        </w:tc>
      </w:tr>
      <w:tr>
        <w:trPr>
          <w:trHeight w:val="237"/>
        </w:trPr>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Please Type or Print Name(s)</w:t>
            </w:r>
          </w:p>
        </w:tc>
      </w:tr>
      <w:tr>
        <w:trPr>
          <w:trHeight w:val="270"/>
        </w:trPr>
        <w:tc>
          <w:tcPr>
            <w:tcW w:w="5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700" w:type="dxa"/>
            <w:vAlign w:val="bottom"/>
            <w:tcBorders>
              <w:bottom w:val="single" w:sz="8" w:color="auto"/>
            </w:tcBorders>
          </w:tcPr>
          <w:p>
            <w:pPr>
              <w:spacing w:after="0"/>
              <w:rPr>
                <w:sz w:val="23"/>
                <w:szCs w:val="23"/>
                <w:color w:val="auto"/>
              </w:rPr>
            </w:pPr>
          </w:p>
        </w:tc>
      </w:tr>
      <w:tr>
        <w:trPr>
          <w:trHeight w:val="264"/>
        </w:trPr>
        <w:tc>
          <w:tcPr>
            <w:tcW w:w="5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700" w:type="dxa"/>
            <w:vAlign w:val="bottom"/>
            <w:tcBorders>
              <w:bottom w:val="single" w:sz="8" w:color="auto"/>
            </w:tcBorders>
          </w:tcPr>
          <w:p>
            <w:pPr>
              <w:spacing w:after="0"/>
              <w:rPr>
                <w:sz w:val="22"/>
                <w:szCs w:val="22"/>
                <w:color w:val="auto"/>
              </w:rPr>
            </w:pPr>
          </w:p>
        </w:tc>
      </w:tr>
      <w:tr>
        <w:trPr>
          <w:trHeight w:val="237"/>
        </w:trPr>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Please Type or Print Name(s)</w:t>
            </w:r>
          </w:p>
        </w:tc>
      </w:tr>
      <w:tr>
        <w:trPr>
          <w:trHeight w:val="270"/>
        </w:trPr>
        <w:tc>
          <w:tcPr>
            <w:tcW w:w="5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700" w:type="dxa"/>
            <w:vAlign w:val="bottom"/>
            <w:tcBorders>
              <w:bottom w:val="single" w:sz="8" w:color="auto"/>
            </w:tcBorders>
          </w:tcPr>
          <w:p>
            <w:pPr>
              <w:spacing w:after="0"/>
              <w:rPr>
                <w:sz w:val="23"/>
                <w:szCs w:val="23"/>
                <w:color w:val="auto"/>
              </w:rPr>
            </w:pPr>
          </w:p>
        </w:tc>
      </w:tr>
      <w:tr>
        <w:trPr>
          <w:trHeight w:val="264"/>
        </w:trPr>
        <w:tc>
          <w:tcPr>
            <w:tcW w:w="5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700" w:type="dxa"/>
            <w:vAlign w:val="bottom"/>
            <w:tcBorders>
              <w:bottom w:val="single" w:sz="8" w:color="auto"/>
            </w:tcBorders>
          </w:tcPr>
          <w:p>
            <w:pPr>
              <w:spacing w:after="0"/>
              <w:rPr>
                <w:sz w:val="22"/>
                <w:szCs w:val="22"/>
                <w:color w:val="auto"/>
              </w:rPr>
            </w:pPr>
          </w:p>
        </w:tc>
      </w:tr>
      <w:tr>
        <w:trPr>
          <w:trHeight w:val="237"/>
        </w:trPr>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Area Code and Telephone Number</w:t>
            </w:r>
          </w:p>
        </w:tc>
      </w:tr>
      <w:tr>
        <w:trPr>
          <w:trHeight w:val="270"/>
        </w:trPr>
        <w:tc>
          <w:tcPr>
            <w:tcW w:w="5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700" w:type="dxa"/>
            <w:vAlign w:val="bottom"/>
            <w:tcBorders>
              <w:bottom w:val="single" w:sz="8" w:color="auto"/>
            </w:tcBorders>
          </w:tcPr>
          <w:p>
            <w:pPr>
              <w:spacing w:after="0"/>
              <w:rPr>
                <w:sz w:val="23"/>
                <w:szCs w:val="23"/>
                <w:color w:val="auto"/>
              </w:rPr>
            </w:pPr>
          </w:p>
        </w:tc>
      </w:tr>
      <w:tr>
        <w:trPr>
          <w:trHeight w:val="214"/>
        </w:trPr>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Tax Identification or Social</w:t>
            </w:r>
          </w:p>
        </w:tc>
      </w:tr>
      <w:tr>
        <w:trPr>
          <w:trHeight w:val="238"/>
        </w:trPr>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Security Number</w:t>
            </w:r>
          </w:p>
        </w:tc>
      </w:tr>
      <w:tr>
        <w:trPr>
          <w:trHeight w:val="338"/>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w w:val="72"/>
              </w:rPr>
              <w:t>Dated: </w:t>
            </w:r>
          </w:p>
        </w:tc>
        <w:tc>
          <w:tcPr>
            <w:tcW w:w="180" w:type="dxa"/>
            <w:vAlign w:val="bottom"/>
          </w:tcPr>
          <w:p>
            <w:pPr>
              <w:ind w:left="140"/>
              <w:spacing w:after="0"/>
              <w:rPr>
                <w:sz w:val="20"/>
                <w:szCs w:val="20"/>
                <w:color w:val="auto"/>
              </w:rPr>
            </w:pPr>
            <w:r>
              <w:rPr>
                <w:rFonts w:ascii="Times New Roman" w:cs="Times New Roman" w:eastAsia="Times New Roman" w:hAnsi="Times New Roman"/>
                <w:sz w:val="2"/>
                <w:szCs w:val="2"/>
                <w:color w:val="auto"/>
                <w:w w:val="97"/>
              </w:rPr>
              <w:t> </w:t>
            </w:r>
          </w:p>
        </w:tc>
        <w:tc>
          <w:tcPr>
            <w:tcW w:w="180" w:type="dxa"/>
            <w:vAlign w:val="bottom"/>
          </w:tcPr>
          <w:p>
            <w:pPr>
              <w:ind w:left="140"/>
              <w:spacing w:after="0"/>
              <w:rPr>
                <w:sz w:val="20"/>
                <w:szCs w:val="20"/>
                <w:color w:val="auto"/>
              </w:rPr>
            </w:pPr>
            <w:r>
              <w:rPr>
                <w:rFonts w:ascii="Times New Roman" w:cs="Times New Roman" w:eastAsia="Times New Roman" w:hAnsi="Times New Roman"/>
                <w:sz w:val="2"/>
                <w:szCs w:val="2"/>
                <w:color w:val="auto"/>
                <w:w w:val="97"/>
              </w:rPr>
              <w:t> </w:t>
            </w:r>
          </w:p>
        </w:tc>
        <w:tc>
          <w:tcPr>
            <w:tcW w:w="180" w:type="dxa"/>
            <w:vAlign w:val="bottom"/>
          </w:tcPr>
          <w:p>
            <w:pPr>
              <w:ind w:left="140"/>
              <w:spacing w:after="0"/>
              <w:rPr>
                <w:sz w:val="20"/>
                <w:szCs w:val="20"/>
                <w:color w:val="auto"/>
              </w:rPr>
            </w:pPr>
            <w:r>
              <w:rPr>
                <w:rFonts w:ascii="Times New Roman" w:cs="Times New Roman" w:eastAsia="Times New Roman" w:hAnsi="Times New Roman"/>
                <w:sz w:val="2"/>
                <w:szCs w:val="2"/>
                <w:color w:val="auto"/>
                <w:w w:val="97"/>
              </w:rPr>
              <w:t> </w:t>
            </w:r>
          </w:p>
        </w:tc>
        <w:tc>
          <w:tcPr>
            <w:tcW w:w="280" w:type="dxa"/>
            <w:vAlign w:val="bottom"/>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140"/>
              <w:spacing w:after="0"/>
              <w:rPr>
                <w:sz w:val="20"/>
                <w:szCs w:val="20"/>
                <w:color w:val="auto"/>
              </w:rPr>
            </w:pPr>
            <w:r>
              <w:rPr>
                <w:rFonts w:ascii="Times New Roman" w:cs="Times New Roman" w:eastAsia="Times New Roman" w:hAnsi="Times New Roman"/>
                <w:sz w:val="2"/>
                <w:szCs w:val="2"/>
                <w:color w:val="auto"/>
                <w:w w:val="97"/>
              </w:rPr>
              <w:t> </w:t>
            </w:r>
          </w:p>
        </w:tc>
        <w:tc>
          <w:tcPr>
            <w:tcW w:w="180" w:type="dxa"/>
            <w:vAlign w:val="bottom"/>
          </w:tcPr>
          <w:p>
            <w:pPr>
              <w:ind w:left="140"/>
              <w:spacing w:after="0"/>
              <w:rPr>
                <w:sz w:val="20"/>
                <w:szCs w:val="20"/>
                <w:color w:val="auto"/>
              </w:rPr>
            </w:pPr>
            <w:r>
              <w:rPr>
                <w:rFonts w:ascii="Times New Roman" w:cs="Times New Roman" w:eastAsia="Times New Roman" w:hAnsi="Times New Roman"/>
                <w:sz w:val="2"/>
                <w:szCs w:val="2"/>
                <w:color w:val="auto"/>
                <w:w w:val="97"/>
              </w:rPr>
              <w:t> </w:t>
            </w:r>
          </w:p>
        </w:tc>
        <w:tc>
          <w:tcPr>
            <w:tcW w:w="180" w:type="dxa"/>
            <w:vAlign w:val="bottom"/>
          </w:tcPr>
          <w:p>
            <w:pPr>
              <w:ind w:left="140"/>
              <w:spacing w:after="0"/>
              <w:rPr>
                <w:sz w:val="20"/>
                <w:szCs w:val="20"/>
                <w:color w:val="auto"/>
              </w:rPr>
            </w:pPr>
            <w:r>
              <w:rPr>
                <w:rFonts w:ascii="Times New Roman" w:cs="Times New Roman" w:eastAsia="Times New Roman" w:hAnsi="Times New Roman"/>
                <w:sz w:val="2"/>
                <w:szCs w:val="2"/>
                <w:color w:val="auto"/>
                <w:w w:val="97"/>
              </w:rPr>
              <w:t> </w:t>
            </w:r>
          </w:p>
        </w:tc>
        <w:tc>
          <w:tcPr>
            <w:tcW w:w="180" w:type="dxa"/>
            <w:vAlign w:val="bottom"/>
          </w:tcPr>
          <w:p>
            <w:pPr>
              <w:ind w:left="140"/>
              <w:spacing w:after="0"/>
              <w:rPr>
                <w:sz w:val="20"/>
                <w:szCs w:val="20"/>
                <w:color w:val="auto"/>
              </w:rPr>
            </w:pPr>
            <w:r>
              <w:rPr>
                <w:rFonts w:ascii="Times New Roman" w:cs="Times New Roman" w:eastAsia="Times New Roman" w:hAnsi="Times New Roman"/>
                <w:sz w:val="2"/>
                <w:szCs w:val="2"/>
                <w:color w:val="auto"/>
                <w:w w:val="97"/>
              </w:rPr>
              <w:t> </w:t>
            </w:r>
          </w:p>
        </w:tc>
        <w:tc>
          <w:tcPr>
            <w:tcW w:w="280" w:type="dxa"/>
            <w:vAlign w:val="bottom"/>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47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 xml:space="preserve">       </w:t>
            </w:r>
          </w:p>
        </w:tc>
      </w:tr>
      <w:tr>
        <w:trPr>
          <w:trHeight w:val="20"/>
        </w:trPr>
        <w:tc>
          <w:tcPr>
            <w:tcW w:w="52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196850</wp:posOffset>
            </wp:positionV>
            <wp:extent cx="82296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7">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335" w:lineRule="exact"/>
        <w:rPr>
          <w:sz w:val="20"/>
          <w:szCs w:val="20"/>
          <w:color w:val="auto"/>
        </w:rPr>
      </w:pPr>
    </w:p>
    <w:p>
      <w:pPr>
        <w:ind w:left="640" w:hanging="348"/>
        <w:spacing w:after="0"/>
        <w:tabs>
          <w:tab w:leader="none" w:pos="640"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Unless otherwise indicated, it will be assumed that all your Shares are to be tendered.</w:t>
      </w:r>
    </w:p>
    <w:p>
      <w:pPr>
        <w:sectPr>
          <w:pgSz w:w="11900" w:h="16838" w:orient="portrait"/>
          <w:cols w:equalWidth="0" w:num="1">
            <w:col w:w="9019"/>
          </w:cols>
          <w:pgMar w:left="1440" w:top="239" w:right="1440" w:bottom="1440" w:gutter="0" w:footer="0" w:header="0"/>
        </w:sectPr>
      </w:pPr>
    </w:p>
    <w:bookmarkStart w:id="98" w:name="page99"/>
    <w:bookmarkEnd w:id="98"/>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(a)(5)(D)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1637665" cy="643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9">
                      <a:extLst>
                        <a:ext uri="{28A0092B-C50C-407E-A947-70E740481C1C}"/>
                      </a:extLst>
                    </a:blip>
                    <a:srcRect/>
                    <a:stretch>
                      <a:fillRect/>
                    </a:stretch>
                  </pic:blipFill>
                  <pic:spPr bwMode="auto">
                    <a:xfrm>
                      <a:off x="0" y="0"/>
                      <a:ext cx="1637665" cy="643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b w:val="1"/>
          <w:bCs w:val="1"/>
          <w:color w:val="auto"/>
        </w:rPr>
        <w:t>Viatris Announces Commencement of Tender Offer to Acquire Pacira BioSciences, Inc.</w:t>
      </w:r>
    </w:p>
    <w:p>
      <w:pPr>
        <w:spacing w:after="0" w:line="225" w:lineRule="exact"/>
        <w:rPr>
          <w:sz w:val="20"/>
          <w:szCs w:val="20"/>
          <w:color w:val="auto"/>
        </w:rPr>
      </w:pPr>
    </w:p>
    <w:p>
      <w:pPr>
        <w:ind w:right="18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PITTSBURGH </w:t>
      </w:r>
      <w:r>
        <w:rPr>
          <w:rFonts w:ascii="Times New Roman" w:cs="Times New Roman" w:eastAsia="Times New Roman" w:hAnsi="Times New Roman"/>
          <w:sz w:val="18"/>
          <w:szCs w:val="18"/>
          <w:color w:val="auto"/>
        </w:rPr>
        <w:t>– Oct. 30, 2026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Viatris Inc</w:t>
      </w:r>
      <w:r>
        <w:rPr>
          <w:rFonts w:ascii="Times New Roman" w:cs="Times New Roman" w:eastAsia="Times New Roman" w:hAnsi="Times New Roman"/>
          <w:sz w:val="18"/>
          <w:szCs w:val="18"/>
          <w:color w:val="auto"/>
        </w:rPr>
        <w:t>. (“Viatris”) (Nasdaq: VTRS), a global healthcare company, today announced that Peach Purchaser Sub Inc.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(“Purchaser”), a wholly owned subsidiary of Viatris, has commenced a tender offer to purchase all of the issued and outstanding shares of common stock, par value $0.001 per share (the “Shares”), of Pacira BioSciences, Inc. (“Pacira”) (Nasdaq: PCRX), for $36.50 per Share, in cash, net of applicable withholding taxes and without interest, upon the terms and subject to the conditions set forth in the Offer to Purchase, dated Oct. 30, 2026 (as it may be amended or supplemented from time to time, the “Offer to Purchase”), and the accompanying Letter of Transmittal (the “Letter of Transmittal” and, together with the Offer to Purchase and other related materials, as they may be amended or supplemented from time to time, the “Offer”).</w:t>
      </w:r>
    </w:p>
    <w:p>
      <w:pPr>
        <w:spacing w:after="0" w:line="186"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The Offer is being made pursuant to the Agreement and Plan of Merger, dated Oct. 8, 2026, by and among Viatris, Purchaser and Pacira (as it may be amended or supplemented from time to time, the “Merger Agreement”). The Merger Agreement provides, among other things, that as soon as practicable following the consummation of the Offer, on the terms and subject to the conditions set forth in the Merger Agreement and in accordance with the General Corporation Law of the State of Delaware, as amended (the “DGCL”), Purchaser will be merged with and into Pacira (the “Merger”) with Pacira continuing as the surviving corporation in the Merger and as a wholly owned subsidiary of Viatris. By virtue of the Merger, each Share issued and outstanding immediately prior to the effective time of the Merger (subject to certain exceptions set forth in the Merger Agreement) will be converted into the right to receive $36.50 per Share, in cash, net of applicable withholding taxes and without interest. The Merger will be governed by Section 251(h) of the DGCL and, as a result, does not require a vote of Pacira’s stockholders. Purchaser may not provide any “subsequent offering period” for the Offer (within the meaning of Rule 14d-11 promulgated under the Securities Exchange Act of 1934 (as amended, the “Exchange Act”)) without the prior written consent of Pacira.</w:t>
      </w:r>
    </w:p>
    <w:p>
      <w:pPr>
        <w:spacing w:after="0" w:line="19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Pacira’s board of directors (the “Pacira Board”) has published a Solicitation/Recommendation Statement on Schedule 14D-9 (the “Schedule 14D-9”) and filed the Schedule 14D-9 with the U.S. Securities and Exchange Commission (the “SEC”) on Oct. 30, 2026. The Schedule 14D-9 includes, among other things, the unanimous recommendation of the Pacira Board that Pacira’s stockholders accept the Offer and tender their Shares to Purchaser pursuant to the Offer.</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sectPr>
      </w:pPr>
    </w:p>
    <w:bookmarkStart w:id="99" w:name="page100"/>
    <w:bookmarkEnd w:id="99"/>
    <w:p>
      <w:pPr>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The Offer and withdrawal rights will expire one minute following 11:59 p.m., Eastern Time, on Nov. 16, 2026, unless the Offer is extended or earlier terminated (such date, or any subsequent date to which the expiration of the Offer is extended in accordance with the terms of the Merger Agreement, the “Expiration Date”). </w:t>
      </w:r>
      <w:r>
        <w:rPr>
          <w:rFonts w:ascii="Times New Roman" w:cs="Times New Roman" w:eastAsia="Times New Roman" w:hAnsi="Times New Roman"/>
          <w:sz w:val="18"/>
          <w:szCs w:val="18"/>
          <w:color w:val="auto"/>
        </w:rPr>
        <w:t>The Offer may be extended as provided in the Merger Agreement. Any extension, delay, termination or amendment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Offer will be followed, as promptly as practicable, by a public announcement thereof, and such announcement, in the case of an extension, will be made no later than 9 a.m., Eastern Time, on the next business day after the previously scheduled Expiration Date. Shares that are tendered pursuant to the Offer may be withdrawn at any time prior to the Expiration Date and, if such Shares have not yet been accepted for payment by Purchaser pursuant to the Offer (the time of such acceptance, the “Offer Acceptance Time”), may also be withdrawn at any time after Dec. 29, 2026, which is the 60th day after the date of the commencement of the Offer. Upon the terms and subject to the conditions of the Offer, Purchaser will promptly accept for payment at the Offer Acceptance Time, and pay for all Shares that are validly tendered (and not validly withdrawn) pursuant to the Offer as promptly as practicable after the Offer Acceptance Time.</w:t>
      </w:r>
    </w:p>
    <w:p>
      <w:pPr>
        <w:spacing w:after="0" w:line="18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Purchaser’s obligation to pay for Shares validly tendered (and not validly withdrawn) pursuant to the Offer is subject to certain conditions, including, among others, (a) the Minimum Condition (as defined below), (b) the expiration or termination of the waiting period (or any extension thereof) applicable to the Offer under the Hart-Scott-Rodino Antitrust Improvements Act of 1976, as amended, and (c) the absence of any legal restraint that prohibits or makes illegal the consummation of the Offer or the Merger. The “Minimum Condition” means that, prior to the Expiration Date, there will have been validly tendered (and not validly withdrawn) in the Offer a number of Shares that, together with the Shares then owned by Purchaser and its affiliates (as such term is defined in Section 251(h)(6) of the DGCL), represents at least one Share more than 50% of the total number of Shares issued and outstanding at the time of expiration of the Offer, excluding for these purposes Shares tendered pursuant to guaranteed delivery procedures that have not yet been “received” by the “depository” (as such terms are defined in Section 251(h)(6) of the DGCL). The Offer is not subject to a financing condition.</w:t>
      </w:r>
    </w:p>
    <w:p>
      <w:pPr>
        <w:spacing w:after="0" w:line="19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 xml:space="preserve">The documentation relating to the Offer (including the Offer to Purchase, the Letter of Transmittal and the Schedule 14D-9) can be accessed at the following link: </w:t>
      </w:r>
      <w:r>
        <w:rPr>
          <w:rFonts w:ascii="Times New Roman" w:cs="Times New Roman" w:eastAsia="Times New Roman" w:hAnsi="Times New Roman"/>
          <w:sz w:val="18"/>
          <w:szCs w:val="18"/>
          <w:u w:val="single" w:color="auto"/>
          <w:color w:val="auto"/>
        </w:rPr>
        <w:t>https://www.shareholdermaterials.com/pcrx2026/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The Offer to Purchase, the related Letter of Transmittal and the Schedule 14D-9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(which contains the recommendation of the Pacira Board and the reasons therefor) contain important information. Pacira’s stockholders should carefully read all documents in their entirety before any decision is made with respect to the Offer.</w:t>
      </w:r>
    </w:p>
    <w:p>
      <w:pPr>
        <w:spacing w:after="0" w:line="1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to be disclosed by paragraph (d)(1) of Rule 14d-6 promulgated under the Exchange Act is contained in the Offer to Purchase and is incorporated herein by reference.</w:t>
      </w:r>
    </w:p>
    <w:p>
      <w:pPr>
        <w:spacing w:after="0" w:line="33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17" w:right="439" w:bottom="1440" w:gutter="0" w:footer="0" w:header="0"/>
        </w:sectPr>
      </w:pPr>
    </w:p>
    <w:bookmarkStart w:id="100" w:name="page101"/>
    <w:bookmarkEnd w:id="100"/>
    <w:p>
      <w:pPr>
        <w:spacing w:after="0" w:line="258" w:lineRule="auto"/>
        <w:rPr>
          <w:sz w:val="20"/>
          <w:szCs w:val="20"/>
          <w:color w:val="auto"/>
        </w:rPr>
      </w:pPr>
      <w:r>
        <w:rPr>
          <w:rFonts w:ascii="Times New Roman" w:cs="Times New Roman" w:eastAsia="Times New Roman" w:hAnsi="Times New Roman"/>
          <w:sz w:val="18"/>
          <w:szCs w:val="18"/>
          <w:color w:val="auto"/>
        </w:rPr>
        <w:t>Pacira has provided Purchaser with its stockholder list, security position listings and certain other information regarding the beneficial owners of Shares for the purpose of disseminating the Offer to holders of Shares. Purchaser will send the Offer to Purchase, the related Letter of Transmittal and other related documents to record holders of Shares and to brokers, dealers, commercial banks, trust companies and other nominees whose names appear on the stockholder list or, if applicable, who are listed as participants in a clearing agency’s security position listing for subsequent transmittal to beneficial owners of Shares.</w:t>
      </w:r>
    </w:p>
    <w:p>
      <w:pPr>
        <w:spacing w:after="0" w:line="18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Questions or requests for assistance may be directed to Innisfree M&amp;A Incorporated, who is serving as the information agent (the “Information Agent”), at the address and telephone numbers set forth below. Requests for copies of the Offer to Purchase, the related Letter of Transmittal and other tender offer materials may be directed to the Information Agent or to brokers, dealers, commercial banks or trust companies. Such copies will be furnished promptly at Purchaser’s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2619375</wp:posOffset>
            </wp:positionH>
            <wp:positionV relativeFrom="paragraph">
              <wp:posOffset>125730</wp:posOffset>
            </wp:positionV>
            <wp:extent cx="1911350" cy="47180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2">
                      <a:extLst>
                        <a:ext uri="{28A0092B-C50C-407E-A947-70E740481C1C}"/>
                      </a:extLst>
                    </a:blip>
                    <a:srcRect/>
                    <a:stretch>
                      <a:fillRect/>
                    </a:stretch>
                  </pic:blipFill>
                  <pic:spPr bwMode="auto">
                    <a:xfrm>
                      <a:off x="0" y="0"/>
                      <a:ext cx="1911350"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INNISFREE M&amp;A INCORPORATED</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500 Fifth Avenue, 21st Floor</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New York, NY 10110</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Shareholders May Call:</w:t>
      </w:r>
    </w:p>
    <w:p>
      <w:pPr>
        <w:spacing w:after="0" w:line="31" w:lineRule="exact"/>
        <w:rPr>
          <w:sz w:val="20"/>
          <w:szCs w:val="20"/>
          <w:color w:val="auto"/>
        </w:rPr>
      </w:pPr>
    </w:p>
    <w:p>
      <w:pPr>
        <w:ind w:left="4120" w:right="3400" w:hanging="695"/>
        <w:spacing w:after="0" w:line="260" w:lineRule="auto"/>
        <w:tabs>
          <w:tab w:leader="none" w:pos="3852"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239-1760 (TOLL-FREE from the U.S. and Canada), or +1 (412) 232-3651 (from other countries)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Banks and Brokers May Call Collect: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(212) 750-5833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Viatris</w:t>
      </w:r>
    </w:p>
    <w:p>
      <w:pPr>
        <w:spacing w:after="0" w:line="3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u w:val="single" w:color="auto"/>
          <w:color w:val="auto"/>
        </w:rPr>
        <w:t>Viatris Inc</w:t>
      </w:r>
      <w:r>
        <w:rPr>
          <w:rFonts w:ascii="Times New Roman" w:cs="Times New Roman" w:eastAsia="Times New Roman" w:hAnsi="Times New Roman"/>
          <w:sz w:val="18"/>
          <w:szCs w:val="18"/>
          <w:color w:val="auto"/>
        </w:rPr>
        <w:t xml:space="preserve">. (Nasdaq: VTRS) is a global healthcare company whose mission is to empower people worldwide to live healthier at every stage of life. We meet the needs of patients around the world by acting decisively with ingenuity and resolve. Whether we’re developing new medicines, working to maintain a resilient supply of needed therapies, or pursuing bold innovation, we strive to deliver solutions that are effective at scale and built to endure. We’re purpose-built to make an impact with a broad portfolio that spans generics, value-added medicines, established brands and innovative medicines that address areas of significant unmet need. We are headquartered in the U.S., with global centers in Pittsburgh, Shanghai and Hyderabad, India. Learn more at viatris.com and </w:t>
      </w:r>
      <w:r>
        <w:rPr>
          <w:rFonts w:ascii="Times New Roman" w:cs="Times New Roman" w:eastAsia="Times New Roman" w:hAnsi="Times New Roman"/>
          <w:sz w:val="18"/>
          <w:szCs w:val="18"/>
          <w:u w:val="single" w:color="auto"/>
          <w:color w:val="auto"/>
        </w:rPr>
        <w:t>investor.viatris.com</w:t>
      </w:r>
      <w:r>
        <w:rPr>
          <w:rFonts w:ascii="Times New Roman" w:cs="Times New Roman" w:eastAsia="Times New Roman" w:hAnsi="Times New Roman"/>
          <w:sz w:val="18"/>
          <w:szCs w:val="18"/>
          <w:color w:val="auto"/>
        </w:rPr>
        <w:t xml:space="preserve">, and connect with us on </w:t>
      </w:r>
      <w:r>
        <w:rPr>
          <w:rFonts w:ascii="Times New Roman" w:cs="Times New Roman" w:eastAsia="Times New Roman" w:hAnsi="Times New Roman"/>
          <w:sz w:val="18"/>
          <w:szCs w:val="18"/>
          <w:u w:val="single" w:color="auto"/>
          <w:color w:val="auto"/>
        </w:rPr>
        <w:t>LinkedIn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Instagram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YouTube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X.</w:t>
      </w: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3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This communication contains “forward-looking statements”. Such forward-looking statements may include, without limitation, statements about the transaction (in which, among other things, Viatris, through its wholly-owned subsidiary, has commenced the Offer to acquire all of the outstanding Shares of Pacira and, following the consummation of the Offer, for such wholly-owned subsidiary of Viatris to be merged with and into Pacira), the expected timetable for completing the proposed transaction, the anticipated benefits and synergies of the proposed transaction, the ability to complete the transaction or to satisfy the various closing conditions, future opportunities for Viatris or Pacira and either of their products and any other statements regarding Viatris’ or Pacira’s future operations, strategic initiatives and priorities, restructuring activities, financial or operating results, capital allocation, dividend policy and payments, share repurchases, debt ratio and covenants, anticipated business levels, future earnings, planned activities, anticipated growth, market opportunities, strategies, imperatives, competitions, commitments, confidence in future results, efforts to create, enhance or otherwise unlock value, other expectations, plans, trends, outlooks, projections, prospects and targets for future periods, and any other statements that are not historical facts. Forward-looking statements may often be identified by the use of words such as “will”, “may”, “can”, “could”, “should”, “would”, “project”, “believe”, “anticipate”, “expect”, “plan”, “estimate”, “forecast”, “potential”, “pipeline”, “intend”, “continue”, “target”, “seek” and variations of these words or comparable words.</w:t>
      </w:r>
    </w:p>
    <w:p>
      <w:pPr>
        <w:spacing w:after="0" w:line="192"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Because forward-looking statements inherently involve known and unknown risks and uncertainties, actual future results, levels of activity, performance or achievements may differ materially from those expressed or implied by such forward-looking statements, and there can be no assurance that estimates, assumptions and expectations will prove to have been correct. Factors that could cause or contribute to such differences include, but are not limited to: the ability of Viatris and Pacira to meet expectations regarding the timing, completion and accounting and tax treatments of the proposed transaction; the ability of Viatris and Pacira to consummate the proposed transaction; the conditions to the completion of the proposed transaction (including, but not limited to, the Minimum Condition) not being satisfied or waived on the anticipated timeframe or at all; the regulatory approvals required for the proposed transaction not being obtained on the terms expected or on the anticipated schedule or at all; the possibility that competing offers may be made; the possibility that Viatris may be unable to achieve the intended or expected benefits, synergies and operating efficiencies in connection with the proposed transaction within the expected timeframe or at all or to successfully integrate Viatris and Pacira; Viatris’ or Pacira’s failure to achieve expected or targeted future financial and operating performance and results; the possibility that Viatris or Pacira may not realize the intended benefits of, or achieve the intended goals or outlooks with respect to, its strategic initiatives and priorities; actions and decisions of healthcare and pharmaceutical regulators; changes in relevant laws, regulations and policies and/or the application or implementation thereof, including but not limited to tax, healthcare and pharmaceutical laws, regulations and policies globally; the ability to attract, motivate and retain key personnel; Viatris’ or Pacira’s liquidity, capital resources and ability to successfully complete capital projections and obtain financing; Viatris’ or Pacira’s plans with respect to the repayment of indebtedness; any regulatory, legal or other impediments to Viatris’ or Pacira’s ability to bring new products to market; success of clinical trials and Viatris’ or Pacira’s (or, with respect to each, its partners’) ability to execute on new product opportunities and develop, manufacture and commercialize products; any changes in or difficulties with Viatris’ or Pacira’s manufacturing facilities, including with respect to short- or long-term shutdowns, inspections, remediation and restructuring activities, product labeling or regulatory compliance, supply chain continuity, inventory management, or the ability to meet anticipated demand; the scope, timing and outcome of any ongoing legal proceedings, including government inquiries or investigations, and the impact of any such proceedings on Viatris or Pacira; any significant breach of data security or data privacy or disruptions to Viatris’ or Pacira’s information technology systems; risks associated with having significant operations globally; the strength and ability to protect Viatris’ or Pacira’s intellectual property and patent terms and preserve their respective intellectual property rights; changes in third-party relationships; the effect of any changes in Viatris’ or Pacira’s (or, with respect to each, its partners’) customer and supplier relationships and customer purchasing patterns, including customer loss and business disruption being greater than expected following the proposed transaction; the impacts of competition, including decreases in sales or revenues as a result of the loss of market exclusivity for certain products; changes in the economic and financial conditions of Viatris or Pacira (or, with respect to each, its partners); uncertainties regarding future demand, pricing and reimbursement for Viatris’ or Pacira’s products; uncertainties and matters beyond the control of management, including but not limited to general political and economic conditions, wars or other conflicts, potential for adverse impacts from future tariffs and trade restrictions, inflation rates, interest rates and global exchange rates; and inherent uncertainties involved in the estimates and judgments used in the preparation of financial statements, and the providing of estimates of financial measures, in accordance with U.S. GAAP and related standards or on an adjusted basis.</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2" w:name="page103"/>
    <w:bookmarkEnd w:id="102"/>
    <w:p>
      <w:pPr>
        <w:ind w:right="60"/>
        <w:spacing w:after="0" w:line="273" w:lineRule="auto"/>
        <w:rPr>
          <w:sz w:val="20"/>
          <w:szCs w:val="20"/>
          <w:color w:val="auto"/>
        </w:rPr>
      </w:pPr>
      <w:r>
        <w:rPr>
          <w:rFonts w:ascii="Times New Roman" w:cs="Times New Roman" w:eastAsia="Times New Roman" w:hAnsi="Times New Roman"/>
          <w:sz w:val="17"/>
          <w:szCs w:val="17"/>
          <w:color w:val="auto"/>
        </w:rPr>
        <w:t xml:space="preserve">For more detailed information on the risks and uncertainties associated with Viatris and Pacira, see the risks described in Part I, Item 1A of their respective Annual Reports on Form 10-K for the year ended Dec. 31, 2025, and their other filings with the SEC. You can access their respective filings with the SEC through the SEC website at www.sec.gov or through their respective websites, and each of Viatris and Pacira strongly encourages you to do so. Viatris routinely posts information that may be important to investors on its website at </w:t>
      </w:r>
      <w:r>
        <w:rPr>
          <w:rFonts w:ascii="Times New Roman" w:cs="Times New Roman" w:eastAsia="Times New Roman" w:hAnsi="Times New Roman"/>
          <w:sz w:val="17"/>
          <w:szCs w:val="17"/>
          <w:u w:val="single" w:color="auto"/>
          <w:color w:val="auto"/>
        </w:rPr>
        <w:t>investor.viatris.com</w:t>
      </w:r>
      <w:r>
        <w:rPr>
          <w:rFonts w:ascii="Times New Roman" w:cs="Times New Roman" w:eastAsia="Times New Roman" w:hAnsi="Times New Roman"/>
          <w:sz w:val="17"/>
          <w:szCs w:val="17"/>
          <w:color w:val="auto"/>
        </w:rPr>
        <w:t>, and uses this website address as a means of disclosing material information to the public in a broad, non-exclusionary manner for purposes of the SEC’s Regulation Fair Disclosure (Reg FD). The contents of each of Viatris’s and Pacira’s websites are not incorporated into this communication or their respective filings with the SEC. Each of Viatris and Pacira undertakes no obligation to update any statements herein for revisions or changes after the date of this communication other than as required by law.</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Information about the Transaction and Where to Find It</w:t>
      </w:r>
    </w:p>
    <w:p>
      <w:pPr>
        <w:spacing w:after="0" w:line="31"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 xml:space="preserve">This communication is for informational purposes only and it is neither a recommendation, nor an offer to purchase nor a solicitation of an offer to sell Shares, nor is it a substitute for the tender offer materials that Viatris, Purchaser or Pacira have filed with the SEC. Viatris has filed a Tender Offer Statement on Schedule TO, containing the Offer to Purchase, the Letter of Transmittal and other related tender offer documents, with the SEC, and Pacira has filed the Solicitation/Recommendation Statement on Schedule 14D-9 relating to the Offer with the SEC. The Offer is only being made pursuant to the Offer to Purchase and the exhibits filed with respect thereto (including the Letter of Transmittal) and other related tender offer documents filed as a part of the Schedule TO, which contain the full terms and conditions of the Offer. </w:t>
      </w:r>
      <w:r>
        <w:rPr>
          <w:rFonts w:ascii="Times New Roman" w:cs="Times New Roman" w:eastAsia="Times New Roman" w:hAnsi="Times New Roman"/>
          <w:sz w:val="17"/>
          <w:szCs w:val="17"/>
          <w:b w:val="1"/>
          <w:bCs w:val="1"/>
          <w:color w:val="auto"/>
        </w:rPr>
        <w:t>Pacira’s stockholders are strongly advised to read the tender offer materials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(including the Offer to Purchase, the Letter of Transmittal and certain other tender offer documents) and the Solicitation/Recommendation Statement on Schedule 14D-9 carefully and in their entirety, as they may be amended or supplemented from time to time, because they contain important information about the Offer that Pacira’s stockholders should consider prior to making any decisions with respect to the Offer, including the terms and conditions of the Offer. </w:t>
      </w:r>
      <w:r>
        <w:rPr>
          <w:rFonts w:ascii="Times New Roman" w:cs="Times New Roman" w:eastAsia="Times New Roman" w:hAnsi="Times New Roman"/>
          <w:sz w:val="17"/>
          <w:szCs w:val="17"/>
          <w:color w:val="auto"/>
        </w:rPr>
        <w:t>The Offer to Purchase, the Letter of Transmittal and other related tender offer documents, as well as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Solicitation/Recommendation Statement on Schedule 14D-9, will be sent to all stockholders of Pacira at no expense to them</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The Tender Offer Statement on Schedule TO, the Solicitation/Recommendation Statement on Schedule 14D-9, and other related documents filed with the SEC are available for free at the website maintained by the </w:t>
      </w:r>
      <w:r>
        <w:rPr>
          <w:rFonts w:ascii="Times New Roman" w:cs="Times New Roman" w:eastAsia="Times New Roman" w:hAnsi="Times New Roman"/>
          <w:sz w:val="17"/>
          <w:szCs w:val="17"/>
          <w:u w:val="single" w:color="auto"/>
          <w:color w:val="auto"/>
        </w:rPr>
        <w:t>SEC at www.sec.gov</w:t>
      </w:r>
      <w:r>
        <w:rPr>
          <w:rFonts w:ascii="Times New Roman" w:cs="Times New Roman" w:eastAsia="Times New Roman" w:hAnsi="Times New Roman"/>
          <w:sz w:val="17"/>
          <w:szCs w:val="17"/>
          <w:color w:val="auto"/>
        </w:rPr>
        <w:t xml:space="preserve"> and can be accessed at the following link: </w:t>
      </w:r>
      <w:r>
        <w:rPr>
          <w:rFonts w:ascii="Times New Roman" w:cs="Times New Roman" w:eastAsia="Times New Roman" w:hAnsi="Times New Roman"/>
          <w:sz w:val="17"/>
          <w:szCs w:val="17"/>
          <w:u w:val="single" w:color="auto"/>
          <w:color w:val="auto"/>
        </w:rPr>
        <w:t>https://www.shareholdermaterials.com/pcrx2026/.</w:t>
      </w: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3" w:name="page104"/>
    <w:bookmarkEnd w:id="103"/>
    <w:p>
      <w:pPr>
        <w:spacing w:after="0" w:line="266" w:lineRule="auto"/>
        <w:rPr>
          <w:sz w:val="20"/>
          <w:szCs w:val="20"/>
          <w:color w:val="auto"/>
        </w:rPr>
      </w:pPr>
      <w:r>
        <w:rPr>
          <w:rFonts w:ascii="Times New Roman" w:cs="Times New Roman" w:eastAsia="Times New Roman" w:hAnsi="Times New Roman"/>
          <w:sz w:val="18"/>
          <w:szCs w:val="18"/>
          <w:color w:val="auto"/>
        </w:rPr>
        <w:t xml:space="preserve">In addition, a copy of the Offer to Purchase, the Letter of Transmittal and other related tender offer documents may be obtained free of charge by directing a request to Viatris at </w:t>
      </w:r>
      <w:r>
        <w:rPr>
          <w:rFonts w:ascii="Times New Roman" w:cs="Times New Roman" w:eastAsia="Times New Roman" w:hAnsi="Times New Roman"/>
          <w:sz w:val="18"/>
          <w:szCs w:val="18"/>
          <w:u w:val="single" w:color="auto"/>
          <w:color w:val="auto"/>
        </w:rPr>
        <w:t>InvestorRelations@viatris.com</w:t>
      </w:r>
      <w:r>
        <w:rPr>
          <w:rFonts w:ascii="Times New Roman" w:cs="Times New Roman" w:eastAsia="Times New Roman" w:hAnsi="Times New Roman"/>
          <w:sz w:val="18"/>
          <w:szCs w:val="18"/>
          <w:color w:val="auto"/>
        </w:rPr>
        <w:t xml:space="preserve">. A copy of the Solicitation/Recommendation Statement on Schedule 14D-9 also may be obtained free of charge by directing a request to Pacira at </w:t>
      </w:r>
      <w:r>
        <w:rPr>
          <w:rFonts w:ascii="Times New Roman" w:cs="Times New Roman" w:eastAsia="Times New Roman" w:hAnsi="Times New Roman"/>
          <w:sz w:val="18"/>
          <w:szCs w:val="18"/>
          <w:u w:val="single" w:color="auto"/>
          <w:color w:val="auto"/>
        </w:rPr>
        <w:t>secretary@Pacira.com</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Viatris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+1.724.514.1968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Communications@viatris.com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Jennifer Mauer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Jennifer.Mauer@viatris.com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 Klein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Matthew.Klein@viatris.com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+1.724.514.1813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InvestorRelations@viatris.com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Bill Szablewski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William.Szablewski@viatris.com</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4" w:name="page105"/>
    <w:bookmarkEnd w:id="104"/>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(d)(2)</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CONFIDENTIALITY AGREEMENT</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This Confidentiality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effective as of August 10, 2026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is by and between Pacira BioSciences,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Viatris Inc., a Delaware corporation (the “</w:t>
      </w:r>
      <w:r>
        <w:rPr>
          <w:rFonts w:ascii="Times New Roman" w:cs="Times New Roman" w:eastAsia="Times New Roman" w:hAnsi="Times New Roman"/>
          <w:sz w:val="18"/>
          <w:szCs w:val="18"/>
          <w:u w:val="single" w:color="auto"/>
          <w:color w:val="auto"/>
        </w:rPr>
        <w:t>Recipient</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jc w:val="both"/>
        <w:ind w:firstLine="656"/>
        <w:spacing w:after="0" w:line="266" w:lineRule="auto"/>
        <w:tabs>
          <w:tab w:leader="none" w:pos="1296"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Recipient’s consideration of a possible negotiated acquisition transaction involving the Company (the “</w:t>
      </w:r>
      <w:r>
        <w:rPr>
          <w:rFonts w:ascii="Times New Roman" w:cs="Times New Roman" w:eastAsia="Times New Roman" w:hAnsi="Times New Roman"/>
          <w:sz w:val="18"/>
          <w:szCs w:val="18"/>
          <w:u w:val="single" w:color="auto"/>
          <w:color w:val="auto"/>
        </w:rPr>
        <w:t>Transaction</w:t>
      </w:r>
      <w:r>
        <w:rPr>
          <w:rFonts w:ascii="Times New Roman" w:cs="Times New Roman" w:eastAsia="Times New Roman" w:hAnsi="Times New Roman"/>
          <w:sz w:val="18"/>
          <w:szCs w:val="18"/>
          <w:color w:val="auto"/>
        </w:rPr>
        <w:t>”), the Recipient has requested certain information concerning the Company, its subsidiaries and their respective businesses which is non-public, confidential, or proprietary in nature.</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wishes to protect and preserve the confidentiality of such information.</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229"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In consideration of the mutual covenants, terms, and conditions set forth herein, and for other good and valuable consideration, the receipt and sufficiency of which are hereby acknowledged, the parties agree as follows:</w:t>
      </w:r>
    </w:p>
    <w:p>
      <w:pPr>
        <w:spacing w:after="0" w:line="162" w:lineRule="exact"/>
        <w:rPr>
          <w:sz w:val="20"/>
          <w:szCs w:val="20"/>
          <w:color w:val="auto"/>
        </w:rPr>
      </w:pPr>
    </w:p>
    <w:p>
      <w:pPr>
        <w:ind w:right="20" w:firstLine="656"/>
        <w:spacing w:after="0" w:line="282" w:lineRule="auto"/>
        <w:tabs>
          <w:tab w:leader="none" w:pos="1296"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xml:space="preserve">. For purposes of this Agreement, the following terms have the following meanings. Other terms not specifically defined in this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shall have the meanings given to them elsewhere in this Agreement.</w:t>
      </w:r>
    </w:p>
    <w:p>
      <w:pPr>
        <w:spacing w:after="0" w:line="161" w:lineRule="exact"/>
        <w:rPr>
          <w:rFonts w:ascii="Times New Roman" w:cs="Times New Roman" w:eastAsia="Times New Roman" w:hAnsi="Times New Roman"/>
          <w:sz w:val="18"/>
          <w:szCs w:val="18"/>
          <w:color w:val="auto"/>
        </w:rPr>
      </w:pPr>
    </w:p>
    <w:p>
      <w:pPr>
        <w:jc w:val="both"/>
        <w:ind w:firstLine="1304"/>
        <w:spacing w:after="0" w:line="256" w:lineRule="auto"/>
        <w:tabs>
          <w:tab w:leader="none" w:pos="1944"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any Person, any other Person that is directly or indirectly Controlling, Controlled by, or under common Control with such Person, where “</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and derivative terms mean (i) in the case of a corporate entity, direct or indirect ownership of more than 50% of the stock or shares having the right to vote (or such lesser percentage which is the maximum allowed to be owned by a foreign corporation in a particular jurisdiction) for the election of directors of such entity or (ii) in the case of an entity that is not a corporate entity, the possession, directly or indirectly, of the power to direct or cause the direction of the management and policies of such entity, whether through the ownership of voting securities, by contract, or otherwise.</w:t>
      </w:r>
    </w:p>
    <w:p>
      <w:pPr>
        <w:spacing w:after="0" w:line="187" w:lineRule="exact"/>
        <w:rPr>
          <w:rFonts w:ascii="Times New Roman" w:cs="Times New Roman" w:eastAsia="Times New Roman" w:hAnsi="Times New Roman"/>
          <w:sz w:val="18"/>
          <w:szCs w:val="18"/>
          <w:color w:val="auto"/>
        </w:rPr>
      </w:pPr>
    </w:p>
    <w:p>
      <w:pPr>
        <w:jc w:val="both"/>
        <w:ind w:firstLine="1304"/>
        <w:spacing w:after="0" w:line="253" w:lineRule="auto"/>
        <w:tabs>
          <w:tab w:leader="none" w:pos="1944"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Evaluation Material</w:t>
      </w:r>
      <w:r>
        <w:rPr>
          <w:rFonts w:ascii="Times New Roman" w:cs="Times New Roman" w:eastAsia="Times New Roman" w:hAnsi="Times New Roman"/>
          <w:sz w:val="18"/>
          <w:szCs w:val="18"/>
          <w:color w:val="auto"/>
        </w:rPr>
        <w:t xml:space="preserve">” means all information, data, documents, agreements, files, and other materials, whether disclosed orally or in written, electronic, or other form or media, which is obtained from or disclosed by the Company or its Representatives on or after the date hereof, including, without limitation, all notes, analyses, compilations, reports, forecasts, studies, samples, and other documents prepared by or for the Recipient to the extent they contain or otherwise reflect or are derived or based in whole or in part on such information, data, documents, agreements, files, or other materials. The term “Evaluation Material” as used herein does not include information that: (i) at the time of disclosure or thereafter is generally available to and known by the public (other than as a result of its disclosure directly or indirectly by the Recipient or its Representatives in violation of this Agreement); (ii) was or becomes available to the Recipient or its Representatives from a source other than the Company or its Representatives,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source, to the Recipient’s knowledge, is not and was not bound by a confidentiality agreement or other obligation with respect to such information or otherwise prohibited from transmitting such information by a contractual, legal, or fiduciary obligation; (iii) has been independently developed by the Recipient or its Representatives without use of or reference to the Evaluation Material; or (iv) was already in the possession of the Recipient or its Representatives prior to being furnished to the Recipient or its Representatives by the Company or its Representatives,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information, to the Recipient’s knowledge, is not and was not subject to a confidentiality agreement with, or other obligation of confidentiality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sectPr>
      </w:pPr>
    </w:p>
    <w:bookmarkStart w:id="105" w:name="page106"/>
    <w:bookmarkEnd w:id="105"/>
    <w:p>
      <w:pPr>
        <w:ind w:left="-656" w:firstLine="1304"/>
        <w:spacing w:after="0" w:line="282" w:lineRule="auto"/>
        <w:tabs>
          <w:tab w:leader="none" w:pos="1288"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individual, corporation, limited or general partnership, limited liability company, limited liability partnership, trust, association, joint venture, governmental entity, or other entity.</w:t>
      </w:r>
    </w:p>
    <w:p>
      <w:pPr>
        <w:spacing w:after="0" w:line="161" w:lineRule="exact"/>
        <w:rPr>
          <w:rFonts w:ascii="Times New Roman" w:cs="Times New Roman" w:eastAsia="Times New Roman" w:hAnsi="Times New Roman"/>
          <w:sz w:val="18"/>
          <w:szCs w:val="18"/>
          <w:color w:val="auto"/>
        </w:rPr>
      </w:pPr>
    </w:p>
    <w:p>
      <w:pPr>
        <w:ind w:left="-656" w:firstLine="1304"/>
        <w:spacing w:after="0" w:line="282" w:lineRule="auto"/>
        <w:tabs>
          <w:tab w:leader="none" w:pos="1288"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Representatives</w:t>
      </w:r>
      <w:r>
        <w:rPr>
          <w:rFonts w:ascii="Times New Roman" w:cs="Times New Roman" w:eastAsia="Times New Roman" w:hAnsi="Times New Roman"/>
          <w:sz w:val="18"/>
          <w:szCs w:val="18"/>
          <w:color w:val="auto"/>
        </w:rPr>
        <w:t>” means, as to any Person, such Person’s Affiliates, and its and their respective directors, officers, employees, managing members, general partners, financing sources, agents, consultants and advisors (including attorneys, financial advisors, and accountants).</w:t>
      </w:r>
    </w:p>
    <w:p>
      <w:pPr>
        <w:spacing w:after="0" w:line="161" w:lineRule="exact"/>
        <w:rPr>
          <w:rFonts w:ascii="Times New Roman" w:cs="Times New Roman" w:eastAsia="Times New Roman" w:hAnsi="Times New Roman"/>
          <w:sz w:val="18"/>
          <w:szCs w:val="18"/>
          <w:color w:val="auto"/>
        </w:rPr>
      </w:pPr>
    </w:p>
    <w:p>
      <w:pPr>
        <w:jc w:val="both"/>
        <w:ind w:left="-656" w:firstLine="656"/>
        <w:spacing w:after="0" w:line="254" w:lineRule="auto"/>
        <w:tabs>
          <w:tab w:leader="none" w:pos="6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Use of Evaluation Material and Confidentiality</w:t>
      </w:r>
      <w:r>
        <w:rPr>
          <w:rFonts w:ascii="Times New Roman" w:cs="Times New Roman" w:eastAsia="Times New Roman" w:hAnsi="Times New Roman"/>
          <w:sz w:val="18"/>
          <w:szCs w:val="18"/>
          <w:color w:val="auto"/>
        </w:rPr>
        <w:t>. The Recipient shall keep the Evaluation Material strictly confidential and shall protect the Evaluation Material using at least the same degree of care that it uses to protect its own confidential information of a similar nature and sensitivity. The Recipient shall not use the Evaluation Material for any purpose other than to evaluate, negotiate, and consummate the Transaction. For the avoidance of doubt, the Recipient shall not use the Evaluation Material for any competitive purpose unrelated to the Transaction. The Recipient shall not disclose or permit its Representatives to disclose any Evaluation Material except: (a) if required by any statute, law, ordinance, code, rule or regulation of a governmental authority or applicable securities exchange (“</w:t>
      </w:r>
      <w:r>
        <w:rPr>
          <w:rFonts w:ascii="Times New Roman" w:cs="Times New Roman" w:eastAsia="Times New Roman" w:hAnsi="Times New Roman"/>
          <w:sz w:val="18"/>
          <w:szCs w:val="18"/>
          <w:u w:val="single" w:color="auto"/>
          <w:color w:val="auto"/>
        </w:rPr>
        <w:t>Law</w:t>
      </w:r>
      <w:r>
        <w:rPr>
          <w:rFonts w:ascii="Times New Roman" w:cs="Times New Roman" w:eastAsia="Times New Roman" w:hAnsi="Times New Roman"/>
          <w:sz w:val="18"/>
          <w:szCs w:val="18"/>
          <w:color w:val="auto"/>
        </w:rPr>
        <w:t xml:space="preserve">”), and then only in accordance with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or (b) the Recipient may disclose Evaluation Material to its Representatives who need to know such information to assist the Recipient in evaluating, negotiating, and consummating the Transaction;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Recipient shall cause each such Representative to be bound by obligations of confidentiality at least as restrictive as those hereof. The Recipient shall be responsible for any breach of this Agreement by any of its Representatives.</w:t>
      </w:r>
    </w:p>
    <w:p>
      <w:pPr>
        <w:spacing w:after="0" w:line="188" w:lineRule="exact"/>
        <w:rPr>
          <w:rFonts w:ascii="Times New Roman" w:cs="Times New Roman" w:eastAsia="Times New Roman" w:hAnsi="Times New Roman"/>
          <w:sz w:val="18"/>
          <w:szCs w:val="18"/>
          <w:color w:val="auto"/>
        </w:rPr>
      </w:pPr>
    </w:p>
    <w:p>
      <w:pPr>
        <w:jc w:val="both"/>
        <w:ind w:left="-656" w:firstLine="656"/>
        <w:spacing w:after="0" w:line="253" w:lineRule="auto"/>
        <w:tabs>
          <w:tab w:leader="none" w:pos="6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Discussions to Remain Confidential</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the Recipient shall not, and shall not permit any of its Representatives to, without the prior written consent of the Company, disclose to any Person: (a) the fact that the Evaluation Material has been made available to the Recipient or its Representatives or that the Recipient or its Representatives have received or inspected any portion of the Evaluation Material; (b) the existence or contents of this Agreement; (c) the fact that investigations, discussions, or negotiations are taking or have taken place concerning the Transaction or any other transaction involving the Company in lieu of the Transaction, including the status thereof; or (d) any terms, conditions, or other matters relating to the Transaction or any other transaction involving the Company in lieu of the Transaction (collectively, “</w:t>
      </w:r>
      <w:r>
        <w:rPr>
          <w:rFonts w:ascii="Times New Roman" w:cs="Times New Roman" w:eastAsia="Times New Roman" w:hAnsi="Times New Roman"/>
          <w:sz w:val="18"/>
          <w:szCs w:val="18"/>
          <w:u w:val="single" w:color="auto"/>
          <w:color w:val="auto"/>
        </w:rPr>
        <w:t>Transaction Information</w:t>
      </w:r>
      <w:r>
        <w:rPr>
          <w:rFonts w:ascii="Times New Roman" w:cs="Times New Roman" w:eastAsia="Times New Roman" w:hAnsi="Times New Roman"/>
          <w:sz w:val="18"/>
          <w:szCs w:val="18"/>
          <w:color w:val="auto"/>
        </w:rPr>
        <w:t>” and, together with the Evaluation Material, “</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xml:space="preserve">”). The Recipient agrees to notify the Company in writing promptly upon its discovery of any unauthorized use or disclosure of any Confidential Information or any other breach of this Agreement by it or any of its Representatives, and will use commercially reasonable efforts to cooperate with and assist the Company in regaining possession of the applicable Confidential Information and preventing its further unauthorized use or disclosure. Without the prior written consent of the Recipient, the Company shall not, and shall cause its Representatives not to, disclose to any Person (i) the identity of the Recipient by name as a party considering or involved in the Transaction or (ii) any of the terms, conditions or other facts with respect to the Transaction, including the status of any discussions between the Company and the Recipient related thereto, in each case other than as permitted by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w:t>
      </w:r>
    </w:p>
    <w:p>
      <w:pPr>
        <w:spacing w:after="0" w:line="362" w:lineRule="exact"/>
        <w:rPr>
          <w:rFonts w:ascii="Times New Roman" w:cs="Times New Roman" w:eastAsia="Times New Roman" w:hAnsi="Times New Roman"/>
          <w:sz w:val="18"/>
          <w:szCs w:val="18"/>
          <w:color w:val="auto"/>
        </w:rPr>
      </w:pPr>
    </w:p>
    <w:p>
      <w:pPr>
        <w:ind w:left="4924" w:hanging="106"/>
        <w:spacing w:after="0"/>
        <w:tabs>
          <w:tab w:leader="none" w:pos="4924" w:val="left"/>
        </w:tabs>
        <w:numPr>
          <w:ilvl w:val="2"/>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51435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21" w:right="339" w:bottom="1440" w:gutter="0" w:footer="0" w:header="0"/>
        </w:sectPr>
      </w:pPr>
    </w:p>
    <w:bookmarkStart w:id="106" w:name="page107"/>
    <w:bookmarkEnd w:id="106"/>
    <w:p>
      <w:pPr>
        <w:jc w:val="both"/>
        <w:ind w:left="-656" w:firstLine="656"/>
        <w:spacing w:after="0" w:line="252" w:lineRule="auto"/>
        <w:tabs>
          <w:tab w:leader="none" w:pos="6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Required Disclosure</w:t>
      </w:r>
      <w:r>
        <w:rPr>
          <w:rFonts w:ascii="Times New Roman" w:cs="Times New Roman" w:eastAsia="Times New Roman" w:hAnsi="Times New Roman"/>
          <w:sz w:val="18"/>
          <w:szCs w:val="18"/>
          <w:color w:val="auto"/>
        </w:rPr>
        <w:t xml:space="preserve">. If the Recipient or any of its Representatives is required by Law or in connection with any legal, judicial or administrative proceedings (including, without limitation, by oral questions, interrogatories, requests for information or documents, subpoena, civil investigation demand or other legal or regulatory process), on the advice of the Recipient’s counsel, to disclose any Confidential Information, the Recipient shall, and shall cause its Representatives to: (a) use commercially reasonable efforts to preserve the privileged nature and confidentiality of such Confidential Information, including requesting that such Confidential Information not be disclosed to non-parties or the public; (b) give the Company prompt prior written notice of such requirement (to the extent not prohibited by Law), including in such notice a description of the circumstances surrounding such request or requirement, the reason that such disclosure is required, the proposed disclosure, and the time and method by which such disclosure is expected to be made, in each case with sufficient specificity so that the Company may seek (at the Company’s sole cost and expense) an appropriate protective order or other remedy; and (c) otherwise use commercially reasonable efforts to cooperate with the Company to obtain such protective order or other remedy. Without limiting the generality of the foregoing, the Recipient will not, and will cause its Representatives not to, oppose any action by the Company to obtain such a protective order or other remedy. In the event that such protective order or other remedy is not obtained, the Recipient will, and will cause any other Persons to whom such requirement is directed to, furnish only that portion of the Confidential Information that, on the advice of the Recipient’s counsel, is legally required to be disclosed and, upon the Company’s request, use its commercially reasonable efforts to obtain assurances that confidential treatment will be accorded to such Confidential Information. Notwithstanding the foregoing, the Recipient and its Representatives shall not be required to provide notice to, or cooperate with, the Company to the extent any disclosure is made or required to be made in connection with a routine audit or examination by a regulatory or self-regulatory authority, bank examiner, or auditor, and such audit or examination is not specifically targeted at the Evaluation Material, the Transaction or the Company. For the avoidance of doubt, notwithstanding any disclosure of Confidential Information pursuant to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the Recipient and its Representatives will continue to be bound by its and their obligations hereunder. The provisions of this Section 4 shall apply mutatis mutandis with respect to the Company’s obligations set forth in the third sentence of Section 3.</w:t>
      </w:r>
    </w:p>
    <w:p>
      <w:pPr>
        <w:spacing w:after="0" w:line="190" w:lineRule="exact"/>
        <w:rPr>
          <w:rFonts w:ascii="Times New Roman" w:cs="Times New Roman" w:eastAsia="Times New Roman" w:hAnsi="Times New Roman"/>
          <w:sz w:val="18"/>
          <w:szCs w:val="18"/>
          <w:color w:val="auto"/>
        </w:rPr>
      </w:pPr>
    </w:p>
    <w:p>
      <w:pPr>
        <w:jc w:val="both"/>
        <w:ind w:left="-656" w:firstLine="656"/>
        <w:spacing w:after="0" w:line="253" w:lineRule="auto"/>
        <w:tabs>
          <w:tab w:leader="none" w:pos="6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Representations or Warranties; No Other Obligation</w:t>
      </w:r>
      <w:r>
        <w:rPr>
          <w:rFonts w:ascii="Times New Roman" w:cs="Times New Roman" w:eastAsia="Times New Roman" w:hAnsi="Times New Roman"/>
          <w:sz w:val="18"/>
          <w:szCs w:val="18"/>
          <w:color w:val="auto"/>
        </w:rPr>
        <w:t>. The Recipient understands and agrees that none of the Company, the board of directors of the Company or any of their respective Representatives: (a) have made or make any representation or warranty hereunder, express or implied, as to the accuracy or completeness of the Evaluation Material; or (b) shall have any liability hereunder to the Recipient or its Representatives relating to or resulting from the use of the Evaluation Material or any errors therein or omissions therefrom. The parties agree that unless and until a definitive agreement between the Company and the Recipient or their respective Affiliates has been executed and delivered with respect to the Transaction, neither party nor any of its respective Representatives will be under any legal obligation of any kind whatsoever with respect to the Transaction, including any obligation to: (i) consummate a Transaction; (ii) conduct or continue discussions or negotiations; or (iii) enter into or negotiate a definitive agreement. Each of the Company and the Recipient reserves the right, in its sole discretion, at any time and for any reason or no reason, to (A) reject any and all proposals made by the other party with regard to the Transaction, (B) terminate discussions and negotiations with the other party at any time, and (C) change in any way its processes or procedures for considering the Transaction. Notwithstanding the foregoing, the Company reserves the right, in its sole discretion, at any time and for any reason or no reason, to enter into any agreement with any other Person without notice to the Recipient or any of its Representatives.</w:t>
      </w:r>
    </w:p>
    <w:p>
      <w:pPr>
        <w:spacing w:after="0" w:line="191" w:lineRule="exact"/>
        <w:rPr>
          <w:rFonts w:ascii="Times New Roman" w:cs="Times New Roman" w:eastAsia="Times New Roman" w:hAnsi="Times New Roman"/>
          <w:sz w:val="18"/>
          <w:szCs w:val="18"/>
          <w:color w:val="auto"/>
        </w:rPr>
      </w:pPr>
    </w:p>
    <w:p>
      <w:pPr>
        <w:jc w:val="both"/>
        <w:ind w:left="-656" w:firstLine="656"/>
        <w:spacing w:after="0" w:line="252" w:lineRule="auto"/>
        <w:tabs>
          <w:tab w:leader="none" w:pos="6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Return or Destruction of Evaluation Material</w:t>
      </w:r>
      <w:r>
        <w:rPr>
          <w:rFonts w:ascii="Times New Roman" w:cs="Times New Roman" w:eastAsia="Times New Roman" w:hAnsi="Times New Roman"/>
          <w:sz w:val="18"/>
          <w:szCs w:val="18"/>
          <w:color w:val="auto"/>
        </w:rPr>
        <w:t xml:space="preserve">. In the event the Recipient decides not to proceed with a Transaction, the Recipient shall promptly notify the Company of such decision. In that case, or at any time upon the Company’s written request in its sole discretion and for any reason, the Recipient shall (a) promptly, at the Recipient’s option, destroy or return to the Company, and cause its Representatives to destroy or return to the Company, all Evaluation Material (including all copies, extracts, or other reproductions) and (b) promptly upon completion of such destruction or return, certify in writing (email being sufficient) to the Company that all Evaluation Material (including any Evaluation Material held electronically) has been destroyed or returned;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any other provision of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the Recipient may retain Evaluation Material to the extent required by applicable Law or pursuant to document retention policies or automatic archival document retention systems and backup procedures not established in connection with the receipt of Evaluation Material;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retained Evaluation Material may be so stored and accessed only to the extent required by such Law, document retention policies, document retention systems or backup procedures and not used for any other purpose;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any such retained Evaluation Material shall not be accessible to operating, business, or deal team personnel and access shall be limited to information technology personnel solely for purposes of maintaining such systems. The Recipient agrees that it shall continue to be bound by its obligations of confidentiality and non-use hereunder with respect to any such retained Evaluation Material for so long as such Evaluation Material is retained, notwithstanding the earlier termination of this Agreement. For the avoidance of doubt, the Recipient shall, and shall cause its Representatives to continue to be bound by its and their obligations of confidentiality and other obligations hereunder notwithstanding the return or destruction of Evaluation Material prior to the termination of this Agreement.</w:t>
      </w:r>
    </w:p>
    <w:p>
      <w:pPr>
        <w:spacing w:after="0" w:line="371" w:lineRule="exact"/>
        <w:rPr>
          <w:rFonts w:ascii="Times New Roman" w:cs="Times New Roman" w:eastAsia="Times New Roman" w:hAnsi="Times New Roman"/>
          <w:sz w:val="18"/>
          <w:szCs w:val="18"/>
          <w:color w:val="auto"/>
        </w:rPr>
      </w:pPr>
    </w:p>
    <w:p>
      <w:pPr>
        <w:ind w:left="4924" w:hanging="106"/>
        <w:spacing w:after="0"/>
        <w:tabs>
          <w:tab w:leader="none" w:pos="4924"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51435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21" w:right="339" w:bottom="1440" w:gutter="0" w:footer="0" w:header="0"/>
        </w:sectPr>
      </w:pPr>
    </w:p>
    <w:bookmarkStart w:id="107" w:name="page108"/>
    <w:bookmarkEnd w:id="107"/>
    <w:p>
      <w:pPr>
        <w:jc w:val="both"/>
        <w:ind w:left="-656" w:firstLine="656"/>
        <w:spacing w:after="0" w:line="261" w:lineRule="auto"/>
        <w:tabs>
          <w:tab w:leader="none" w:pos="6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Ownership of Evaluation Material</w:t>
      </w:r>
      <w:r>
        <w:rPr>
          <w:rFonts w:ascii="Times New Roman" w:cs="Times New Roman" w:eastAsia="Times New Roman" w:hAnsi="Times New Roman"/>
          <w:sz w:val="18"/>
          <w:szCs w:val="18"/>
          <w:color w:val="auto"/>
        </w:rPr>
        <w:t>. Nothing herein, nor any disclosure contemplated hereby, will be deemed to transfer to the Recipient, any of its Representatives or any other Person any interest in, or confer in the Recipient, any of its Representatives or any other Person any right (including, without limitation, any intellectual property right) over or in respect of, any Evaluation Material whatsoever beyond those interests and rights expressly provided for in this Agreement.</w:t>
      </w:r>
    </w:p>
    <w:p>
      <w:pPr>
        <w:spacing w:after="0" w:line="179"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Co-Bidders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56" w:firstLine="1304"/>
        <w:spacing w:after="0" w:line="255" w:lineRule="auto"/>
        <w:tabs>
          <w:tab w:leader="none" w:pos="1288"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Recipient represents and warrants that it (i) is not acting as a broker for or representative of any other Person in connection with the Transaction and (ii) is considering the Transaction only for its own account or the account of one or more of its Affiliates. Except with the prior written consent of the Company, the Recipient agrees that: (A) it will not act as a joint bidder or co-bidder with any other Person (other than an Affiliate of the Recipient) with respect to the Transaction or any other transaction involving the Company in lieu of the Transaction; and (B) neither the Recipient nor any of its Representatives (acting on behalf of the Recipient or its Affiliates) will enter into any discussions, negotiations, agreements, arrangements, or understandings (whether written or oral) regarding a joint bid or consortium proposal for the Transaction or any other transaction involving the Company in lieu of the Transaction with any Person other than the Company and its Representatives or an Affiliate of the Recipient.</w:t>
      </w:r>
    </w:p>
    <w:p>
      <w:pPr>
        <w:spacing w:after="0" w:line="188" w:lineRule="exact"/>
        <w:rPr>
          <w:rFonts w:ascii="Times New Roman" w:cs="Times New Roman" w:eastAsia="Times New Roman" w:hAnsi="Times New Roman"/>
          <w:sz w:val="18"/>
          <w:szCs w:val="18"/>
          <w:color w:val="auto"/>
        </w:rPr>
      </w:pPr>
    </w:p>
    <w:p>
      <w:pPr>
        <w:jc w:val="both"/>
        <w:ind w:left="-656" w:firstLine="1304"/>
        <w:spacing w:after="0" w:line="254" w:lineRule="auto"/>
        <w:tabs>
          <w:tab w:leader="none" w:pos="1288"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Recipient represents and warrants that neither it nor any of its Representatives is party to any agreement, arrangement, or understanding (whether written or oral) that would materially restrict the ability of any other Person to provide financing (debt, equity, or otherwise) to any other Person for the Transaction or any similar transaction involving the Company, and the Recipient agrees that neither it nor any of its Representatives will directly or indirectly enter into any agreement the primary purpose of which is to restrict the ability of any other Person to provide any such financing; provided, however, that nothing in this Section 8(b) shall preclude any financing source from establishing customary “tree” arrangements or “ethical screens” whereby separate dedicated teams are set up to provide services to the Recipient and each other potential bidder, respectively, involved in the Transaction, so long as such teams are appropriately separated by customary standards and procedures to restrict the flow of Confidential Information to Persons who are not on the applicable team.</w:t>
      </w:r>
    </w:p>
    <w:p>
      <w:pPr>
        <w:spacing w:after="0" w:line="191" w:lineRule="exact"/>
        <w:rPr>
          <w:rFonts w:ascii="Times New Roman" w:cs="Times New Roman" w:eastAsia="Times New Roman" w:hAnsi="Times New Roman"/>
          <w:sz w:val="18"/>
          <w:szCs w:val="18"/>
          <w:color w:val="auto"/>
        </w:rPr>
      </w:pPr>
    </w:p>
    <w:p>
      <w:pPr>
        <w:jc w:val="both"/>
        <w:ind w:left="-656" w:firstLine="656"/>
        <w:spacing w:after="0" w:line="253" w:lineRule="auto"/>
        <w:tabs>
          <w:tab w:leader="none" w:pos="6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Solicitation</w:t>
      </w:r>
      <w:r>
        <w:rPr>
          <w:rFonts w:ascii="Times New Roman" w:cs="Times New Roman" w:eastAsia="Times New Roman" w:hAnsi="Times New Roman"/>
          <w:sz w:val="18"/>
          <w:szCs w:val="18"/>
          <w:color w:val="auto"/>
        </w:rPr>
        <w:t xml:space="preserve">. Except with the express written consent of the Company, the Recipient agrees that for a period of 15 months from the Effective Date, the Recipient will not, and will cause its Representatives not to, directly or indirectly, solicit for employment or hire any current or former officer or employee of the Company or any of its Affiliates who has been contacted by or has become known to the Recipient, or about whom the Recipient has received information, through the evaluation, negotiation or consummation of the Transaction (it being understood that the listing of any employee on an employee list or census shall not, in itself, mean that he or she has been contacted by or has become known to the Recipient or that the Recipient has received information about such employee);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restriction on solicitation shall not prevent the Recipient from conducting generalized searches for employees by means of advertisements, public notices, or internal or external websites or job search engines that are not directed at any such officers, directors or employees;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nothing in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shall prohibit the solicitation or hiring of any individual who has not been employed by the Company or any of its Affiliates for at least six (6) months prior to such solicitation or hiring or any individual who approaches the Recipient or its Affiliates on his or her own initiative, without any direct or indirect solicitation from the Recipient or its Affiliates.</w:t>
      </w:r>
    </w:p>
    <w:p>
      <w:pPr>
        <w:spacing w:after="0" w:line="369" w:lineRule="exact"/>
        <w:rPr>
          <w:rFonts w:ascii="Times New Roman" w:cs="Times New Roman" w:eastAsia="Times New Roman" w:hAnsi="Times New Roman"/>
          <w:sz w:val="18"/>
          <w:szCs w:val="18"/>
          <w:color w:val="auto"/>
        </w:rPr>
      </w:pPr>
    </w:p>
    <w:p>
      <w:pPr>
        <w:ind w:left="4924" w:hanging="106"/>
        <w:spacing w:after="0"/>
        <w:tabs>
          <w:tab w:leader="none" w:pos="4924" w:val="left"/>
        </w:tabs>
        <w:numPr>
          <w:ilvl w:val="2"/>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51435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21" w:right="339" w:bottom="1440" w:gutter="0" w:footer="0" w:header="0"/>
        </w:sectPr>
      </w:pPr>
    </w:p>
    <w:bookmarkStart w:id="108" w:name="page109"/>
    <w:bookmarkEnd w:id="108"/>
    <w:p>
      <w:pPr>
        <w:jc w:val="both"/>
        <w:ind w:left="-656" w:firstLine="656"/>
        <w:spacing w:after="0" w:line="266" w:lineRule="auto"/>
        <w:tabs>
          <w:tab w:leader="none" w:pos="6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Standstill</w:t>
      </w:r>
      <w:r>
        <w:rPr>
          <w:rFonts w:ascii="Times New Roman" w:cs="Times New Roman" w:eastAsia="Times New Roman" w:hAnsi="Times New Roman"/>
          <w:sz w:val="18"/>
          <w:szCs w:val="18"/>
          <w:color w:val="auto"/>
        </w:rPr>
        <w:t>. The Recipient hereby represents and warrants that neither it nor any of it Affiliates beneficially owns any shares of the common stock of the Company. Unless approved or invited in advance in writing by the board of directors or an executive officer of the Company, the Recipient agrees that it will not, and it will cause its Representatives not to, for a period of 12 months from the Effective Date, directly or indirectly:</w:t>
      </w:r>
    </w:p>
    <w:p>
      <w:pPr>
        <w:spacing w:after="0" w:line="175" w:lineRule="exact"/>
        <w:rPr>
          <w:rFonts w:ascii="Times New Roman" w:cs="Times New Roman" w:eastAsia="Times New Roman" w:hAnsi="Times New Roman"/>
          <w:sz w:val="18"/>
          <w:szCs w:val="18"/>
          <w:color w:val="auto"/>
        </w:rPr>
      </w:pPr>
    </w:p>
    <w:p>
      <w:pPr>
        <w:jc w:val="both"/>
        <w:ind w:left="-656" w:firstLine="1304"/>
        <w:spacing w:after="0" w:line="253" w:lineRule="auto"/>
        <w:tabs>
          <w:tab w:leader="none" w:pos="1288"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statement or proposal to the board of directors of the Company, any of the Company’s Representatives or any of the Company’s stockholders regarding, or make any public announcement, proposal, or offer (including any “solicitation” of “proxies” as such terms are defined or used in Regulation 14A of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xml:space="preserve">”)) with respect to, or otherwise solicit, seek, or offer to effect (including, for the avoidance of doubt, indirectly by means of communication with the press or media): (i) any business combination, merger, tender offer, exchange offer, or similar transaction involving the Company or any of its subsidiaries; (ii) any restructuring, recapitalization, liquidation, or similar transaction involving the Company or any of its subsidiaries; (iii) any acquisition of any loans, debt securities, equity securities or assets of the Company or any of its subsidiaries, or rights or options to acquire interests in any loans, debt securities, equity securities or assets of the Company or any of its subsidiaries; (iv) any proposal to seek representation on the board of directors of the Company or otherwise seek to control or influence the management, board of directors, or policies of the Company; or (v) any proposal, arrangement, or other statement that would be inconsistent with the terms of this Agreement, including this </w:t>
      </w:r>
      <w:r>
        <w:rPr>
          <w:rFonts w:ascii="Times New Roman" w:cs="Times New Roman" w:eastAsia="Times New Roman" w:hAnsi="Times New Roman"/>
          <w:sz w:val="18"/>
          <w:szCs w:val="18"/>
          <w:u w:val="single" w:color="auto"/>
          <w:color w:val="auto"/>
        </w:rPr>
        <w:t>Section 10(a)</w:t>
      </w:r>
      <w:r>
        <w:rPr>
          <w:rFonts w:ascii="Times New Roman" w:cs="Times New Roman" w:eastAsia="Times New Roman" w:hAnsi="Times New Roman"/>
          <w:sz w:val="18"/>
          <w:szCs w:val="18"/>
          <w:color w:val="auto"/>
        </w:rPr>
        <w:t>;</w:t>
      </w:r>
    </w:p>
    <w:p>
      <w:pPr>
        <w:spacing w:after="0" w:line="194" w:lineRule="exact"/>
        <w:rPr>
          <w:rFonts w:ascii="Times New Roman" w:cs="Times New Roman" w:eastAsia="Times New Roman" w:hAnsi="Times New Roman"/>
          <w:sz w:val="18"/>
          <w:szCs w:val="18"/>
          <w:color w:val="auto"/>
        </w:rPr>
      </w:pPr>
    </w:p>
    <w:p>
      <w:pPr>
        <w:jc w:val="both"/>
        <w:ind w:left="-656" w:firstLine="1304"/>
        <w:spacing w:after="0" w:line="266" w:lineRule="auto"/>
        <w:tabs>
          <w:tab w:leader="none" w:pos="1288"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instigate, encourage, or assist any third party (including forming a “group” (within the meaning of Section 13(d)(3) of the Exchange Act) with any such third party) to do, or enter into any discussions or agreements with any third party with respect to, any of the actions set forth in </w:t>
      </w:r>
      <w:r>
        <w:rPr>
          <w:rFonts w:ascii="Times New Roman" w:cs="Times New Roman" w:eastAsia="Times New Roman" w:hAnsi="Times New Roman"/>
          <w:sz w:val="18"/>
          <w:szCs w:val="18"/>
          <w:u w:val="single" w:color="auto"/>
          <w:color w:val="auto"/>
        </w:rPr>
        <w:t>Section 10(a)</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left="-656" w:firstLine="1304"/>
        <w:spacing w:after="0" w:line="266" w:lineRule="auto"/>
        <w:tabs>
          <w:tab w:leader="none" w:pos="1288"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propose or agree to acquire), of record or beneficially, by purchase or otherwise, any loans, debt securities, equity securities or assets of the Company or any of its subsidiaries, or rights or options to acquire interests in any of the loans, debt securities, equity securities or assets of the Company or any of its subsidiaries;</w:t>
      </w:r>
    </w:p>
    <w:p>
      <w:pPr>
        <w:spacing w:after="0" w:line="175" w:lineRule="exact"/>
        <w:rPr>
          <w:rFonts w:ascii="Times New Roman" w:cs="Times New Roman" w:eastAsia="Times New Roman" w:hAnsi="Times New Roman"/>
          <w:sz w:val="18"/>
          <w:szCs w:val="18"/>
          <w:color w:val="auto"/>
        </w:rPr>
      </w:pPr>
    </w:p>
    <w:p>
      <w:pPr>
        <w:jc w:val="both"/>
        <w:ind w:left="-656" w:firstLine="1304"/>
        <w:spacing w:after="0" w:line="256" w:lineRule="auto"/>
        <w:tabs>
          <w:tab w:leader="none" w:pos="1288"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lock-up, voting or other similar agreement, arrangement or understanding, whether written or oral, with any current or future stockholder of the Company or other person that has the right to vote or direct the voting of voting securities of the Company that would reasonably be expected to limit, restrict, restrain or otherwise impair in any manner, directly or indirectly, the ability of such person to (i) vote any voting securities of the Company beneficially owned by such person (or with respect to which such person otherwise has the right to vote or direct the voting of such voting securities) in favor of, or (ii) tender any such voting or equity securities of the Company into any offer made in connection with, any transaction involving the Company; or</w:t>
      </w:r>
    </w:p>
    <w:p>
      <w:pPr>
        <w:spacing w:after="0" w:line="187" w:lineRule="exact"/>
        <w:rPr>
          <w:rFonts w:ascii="Times New Roman" w:cs="Times New Roman" w:eastAsia="Times New Roman" w:hAnsi="Times New Roman"/>
          <w:sz w:val="18"/>
          <w:szCs w:val="18"/>
          <w:color w:val="auto"/>
        </w:rPr>
      </w:pPr>
    </w:p>
    <w:p>
      <w:pPr>
        <w:jc w:val="both"/>
        <w:ind w:left="-656" w:firstLine="1304"/>
        <w:spacing w:after="0" w:line="266" w:lineRule="auto"/>
        <w:tabs>
          <w:tab w:leader="none" w:pos="1288"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make generally available to or known by the public, directly or indirectly, any request directed to the Company, its board of directors or any of its Representatives to amend or waive any provision of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(including this sentence); provided, however, that the Recipient shall be permitted to make any such request if such request would not reasonably be expected to require the Company to disclose publicly such request.</w:t>
      </w:r>
    </w:p>
    <w:p>
      <w:pPr>
        <w:spacing w:after="0" w:line="351" w:lineRule="exact"/>
        <w:rPr>
          <w:rFonts w:ascii="Times New Roman" w:cs="Times New Roman" w:eastAsia="Times New Roman" w:hAnsi="Times New Roman"/>
          <w:sz w:val="18"/>
          <w:szCs w:val="18"/>
          <w:color w:val="auto"/>
        </w:rPr>
      </w:pPr>
    </w:p>
    <w:p>
      <w:pPr>
        <w:ind w:left="4924" w:hanging="106"/>
        <w:spacing w:after="0"/>
        <w:tabs>
          <w:tab w:leader="none" w:pos="4924" w:val="left"/>
        </w:tabs>
        <w:numPr>
          <w:ilvl w:val="2"/>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51435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21" w:right="339" w:bottom="1440" w:gutter="0" w:footer="0" w:header="0"/>
        </w:sectPr>
      </w:pPr>
    </w:p>
    <w:bookmarkStart w:id="109" w:name="page110"/>
    <w:bookmarkEnd w:id="109"/>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Notwithstanding the foregoing provisions of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the restrictions set forth in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shall automatically terminate and be of no further force and effect, without any action on the part of any party hereto, upon the occurrence of any of the following: (i) the Company enters into a definitive agreement providing for (A) a merger, consolidation, business combination, or similar transaction pursuant to which any Person or group shall acquire 50% or more of the outstanding voting securities of the Company, (B) a sale of assets representing 50% or more of the consolidated assets, consolidated net income or consolidated revenues of the Company and its subsidiaries or (C) any other single transaction or series of related transactions (including any recapitalization, restructuring, sale, distribution or equity issuance) that results in the stockholders of the Company immediately before such transaction directly or indirectly owning, immediately following such transaction, less than 50% of the outstanding voting securities of the Company, or (ii) a third party commences a tender or exchange offer for 50% or more of the outstanding voting securities of the Company. Nothing in this Agreement shall limit the Recipient’s ability to, at any time, make any confidential proposal regarding the Transaction to the board of directors of the Company. Any consent or approval by the board of directors of the Company under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must be provided in writing by a duly authorized officer of the Company following formal action by the board of directors. No consent or approval shall be implied or deemed to have been granted by reason of any failure of the Company to respond to any request or communication from the Recipient or its Representatives. For the avoidance of doubt, upon the expiration or earlier termination of the restrictions set forth in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(whether by lapse of time or pursuant to the automatic termination provisions of this paragraph), neither the Recipient nor any of its Representatives shall be restricted by any provision of this Agreement (including, without limitation, Section 3) from making, directly or indirectly, any unsolicited proposal to the Company or its board of directors with respect to any acquisition, business combination or similar transaction involving the Company, and the confidentiality and non-disclosure obligations set forth in this Agreement shall not be construed to restrict, limit or prohibit the making of any such proposal.</w:t>
      </w:r>
    </w:p>
    <w:p>
      <w:pPr>
        <w:spacing w:after="0" w:line="193" w:lineRule="exact"/>
        <w:rPr>
          <w:sz w:val="20"/>
          <w:szCs w:val="20"/>
          <w:color w:val="auto"/>
        </w:rPr>
      </w:pPr>
    </w:p>
    <w:p>
      <w:pPr>
        <w:jc w:val="both"/>
        <w:ind w:firstLine="656"/>
        <w:spacing w:after="0" w:line="254" w:lineRule="auto"/>
        <w:tabs>
          <w:tab w:leader="none" w:pos="1296"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Permitted Contacts</w:t>
      </w:r>
      <w:r>
        <w:rPr>
          <w:rFonts w:ascii="Times New Roman" w:cs="Times New Roman" w:eastAsia="Times New Roman" w:hAnsi="Times New Roman"/>
          <w:sz w:val="18"/>
          <w:szCs w:val="18"/>
          <w:color w:val="auto"/>
        </w:rPr>
        <w:t xml:space="preserve">. The Recipient agrees not to initiate, contact, or engage in discussions (except for those contacts or discussions made in the ordinary course of business unrelated to the Transaction) with any current employee (other than the individuals listed in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supplier, licensor, contractor or agent of the Company or any of its Affiliates in connection with the Transaction without the prior written consent of the Company. The Recipient agrees that all requests for information, tours and meetings, all questions or discussions relating to the procedures in making a proposal and all communications regarding the Transaction will be directed only to: Anthony Molloy ([***]) or Kristen Williams ([***]) (the “</w:t>
      </w:r>
      <w:r>
        <w:rPr>
          <w:rFonts w:ascii="Times New Roman" w:cs="Times New Roman" w:eastAsia="Times New Roman" w:hAnsi="Times New Roman"/>
          <w:sz w:val="18"/>
          <w:szCs w:val="18"/>
          <w:u w:val="single" w:color="auto"/>
          <w:color w:val="auto"/>
        </w:rPr>
        <w:t>Company Contacts</w:t>
      </w:r>
      <w:r>
        <w:rPr>
          <w:rFonts w:ascii="Times New Roman" w:cs="Times New Roman" w:eastAsia="Times New Roman" w:hAnsi="Times New Roman"/>
          <w:sz w:val="18"/>
          <w:szCs w:val="18"/>
          <w:color w:val="auto"/>
        </w:rPr>
        <w:t>”) or such other Person or Persons specifically designated in writing by the Company Contacts for such purposes, except that communications, questions or discussions relating to this Agreement or legal aspects of the Transaction may be directed to Jason Day or Jeff Beuche of Ashurst Perkins Coie or such other Person or Persons specifically designated in writing by Jason Day or Jeff Beuche for such purposes.</w:t>
      </w:r>
    </w:p>
    <w:p>
      <w:pPr>
        <w:spacing w:after="0" w:line="191" w:lineRule="exact"/>
        <w:rPr>
          <w:rFonts w:ascii="Times New Roman" w:cs="Times New Roman" w:eastAsia="Times New Roman" w:hAnsi="Times New Roman"/>
          <w:sz w:val="18"/>
          <w:szCs w:val="18"/>
          <w:color w:val="auto"/>
        </w:rPr>
      </w:pPr>
    </w:p>
    <w:p>
      <w:pPr>
        <w:jc w:val="both"/>
        <w:ind w:firstLine="656"/>
        <w:spacing w:after="0" w:line="261" w:lineRule="auto"/>
        <w:tabs>
          <w:tab w:leader="none" w:pos="1296"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The parties agree that money damages would not be a sufficient remedy for any breach or potential breach of this Agreement by the Recipient or any of its Representatives (treating the Recipient’s Representatives as if they were signatories hereto) and that without prejudice to any other rights and in addition to all other remedies it may be entitled to, the Company shall be entitled to specific performance and injunctive or other equitable relief without the necessity of posting any bond or other security as a remedy for any such breach or potential breach.</w:t>
      </w:r>
    </w:p>
    <w:p>
      <w:pPr>
        <w:spacing w:after="0" w:line="179" w:lineRule="exact"/>
        <w:rPr>
          <w:rFonts w:ascii="Times New Roman" w:cs="Times New Roman" w:eastAsia="Times New Roman" w:hAnsi="Times New Roman"/>
          <w:sz w:val="18"/>
          <w:szCs w:val="18"/>
          <w:color w:val="auto"/>
        </w:rPr>
      </w:pPr>
    </w:p>
    <w:p>
      <w:pPr>
        <w:jc w:val="both"/>
        <w:ind w:firstLine="656"/>
        <w:spacing w:after="0" w:line="261" w:lineRule="auto"/>
        <w:tabs>
          <w:tab w:leader="none" w:pos="1296"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Waiver of Privilege</w:t>
      </w:r>
      <w:r>
        <w:rPr>
          <w:rFonts w:ascii="Times New Roman" w:cs="Times New Roman" w:eastAsia="Times New Roman" w:hAnsi="Times New Roman"/>
          <w:sz w:val="18"/>
          <w:szCs w:val="18"/>
          <w:color w:val="auto"/>
        </w:rPr>
        <w:t>. To the extent that any Evaluation Material includes materials subject to attorney-client privilege, the Company is not waiving, and shall not be deemed to have waived or diminished, its attorney work product protections, attorney-client privileges, or similar protections and privileges as a result of disclosing any Evaluation Material (including Evaluation Material related to pending or threatened litigation) to the Recipient or any of its Representatives.</w:t>
      </w:r>
    </w:p>
    <w:p>
      <w:pPr>
        <w:spacing w:after="0" w:line="355" w:lineRule="exact"/>
        <w:rPr>
          <w:rFonts w:ascii="Times New Roman" w:cs="Times New Roman" w:eastAsia="Times New Roman" w:hAnsi="Times New Roman"/>
          <w:sz w:val="18"/>
          <w:szCs w:val="18"/>
          <w:color w:val="auto"/>
        </w:rPr>
      </w:pPr>
    </w:p>
    <w:p>
      <w:pPr>
        <w:ind w:left="5580" w:hanging="106"/>
        <w:spacing w:after="0"/>
        <w:tabs>
          <w:tab w:leader="none" w:pos="558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0" w:name="page111"/>
    <w:bookmarkEnd w:id="110"/>
    <w:p>
      <w:pPr>
        <w:jc w:val="both"/>
        <w:ind w:left="-656" w:firstLine="656"/>
        <w:spacing w:after="0" w:line="266" w:lineRule="auto"/>
        <w:tabs>
          <w:tab w:leader="none" w:pos="6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xml:space="preserve">. This Agreement shall continue for a period of three years after the Effective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non-disclosure and non-use obligations set forth herein with respect to any Confidential Information that constitutes a trade secret under applicable Law will survive so long as such Confidential Information remains a trade secret.</w:t>
      </w:r>
    </w:p>
    <w:p>
      <w:pPr>
        <w:spacing w:after="0" w:line="175" w:lineRule="exact"/>
        <w:rPr>
          <w:rFonts w:ascii="Times New Roman" w:cs="Times New Roman" w:eastAsia="Times New Roman" w:hAnsi="Times New Roman"/>
          <w:sz w:val="18"/>
          <w:szCs w:val="18"/>
          <w:color w:val="auto"/>
        </w:rPr>
      </w:pPr>
    </w:p>
    <w:p>
      <w:pPr>
        <w:jc w:val="both"/>
        <w:ind w:left="-656" w:firstLine="656"/>
        <w:spacing w:after="0" w:line="256" w:lineRule="auto"/>
        <w:tabs>
          <w:tab w:leader="none" w:pos="6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Securities Law Compliance</w:t>
      </w:r>
      <w:r>
        <w:rPr>
          <w:rFonts w:ascii="Times New Roman" w:cs="Times New Roman" w:eastAsia="Times New Roman" w:hAnsi="Times New Roman"/>
          <w:sz w:val="18"/>
          <w:szCs w:val="18"/>
          <w:color w:val="auto"/>
        </w:rPr>
        <w:t>. The Recipient hereby acknowledges that it understands that: (a) the Confidential Information may contain or constitute material non-public information concerning the Company and its Affiliates; and (b) trading in the Company’s securities while in possession of material nonpublic information or communicating that information to any other Person who trades in such securities could subject the Recipient to liability under U.S. federal and state securities Laws, and the rules and regulations promulgated thereunder, including Section 10(b) of the Exchange Act, and Rule 10b-5 promulgated thereunder. The Recipient covenants that neither it nor any of its Affiliates or Representatives will, directly or indirectly, trade in the securities of the Company while in possession of material non-public information received as Evaluation Material.</w:t>
      </w:r>
    </w:p>
    <w:p>
      <w:pPr>
        <w:spacing w:after="0" w:line="187" w:lineRule="exact"/>
        <w:rPr>
          <w:rFonts w:ascii="Times New Roman" w:cs="Times New Roman" w:eastAsia="Times New Roman" w:hAnsi="Times New Roman"/>
          <w:sz w:val="18"/>
          <w:szCs w:val="18"/>
          <w:color w:val="auto"/>
        </w:rPr>
      </w:pPr>
    </w:p>
    <w:p>
      <w:pPr>
        <w:jc w:val="both"/>
        <w:ind w:left="-656" w:firstLine="656"/>
        <w:spacing w:after="0" w:line="254" w:lineRule="auto"/>
        <w:tabs>
          <w:tab w:leader="none" w:pos="6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Jurisdiction and Venue</w:t>
      </w:r>
      <w:r>
        <w:rPr>
          <w:rFonts w:ascii="Times New Roman" w:cs="Times New Roman" w:eastAsia="Times New Roman" w:hAnsi="Times New Roman"/>
          <w:sz w:val="18"/>
          <w:szCs w:val="18"/>
          <w:color w:val="auto"/>
        </w:rPr>
        <w:t xml:space="preserve">. This Agreement and any controversy related to or arising, directly or indirectly, out of, caused by or resulting from this Agreement or the matters contemplated hereunder shall be governed by and construed in accordance with the internal Laws of the State of Delaware without giving effect to any choice or conflict of law provision or rule (whether of the State of Delaware or any other jurisdiction) that would cause the application of Laws of any jurisdiction other than those of the State of Delaware. Any suit, action, or proceeding related to or arising, directly or indirectly, out of, caused by or resulting from this Agreement or the matters contemplated hereunder shall be instituted in the federal courts of the United States or the courts of the State of Delaware in each case located in the County of New Castle in the State of Delaware, and each party irrevocably submits to the exclusive jurisdiction of such courts in any such suit, action, or proceeding and waives any objection based on improper venue or </w:t>
      </w:r>
      <w:r>
        <w:rPr>
          <w:rFonts w:ascii="Times New Roman" w:cs="Times New Roman" w:eastAsia="Times New Roman" w:hAnsi="Times New Roman"/>
          <w:sz w:val="18"/>
          <w:szCs w:val="18"/>
          <w:i w:val="1"/>
          <w:iCs w:val="1"/>
          <w:color w:val="auto"/>
        </w:rPr>
        <w:t>forum non conveniens</w:t>
      </w:r>
      <w:r>
        <w:rPr>
          <w:rFonts w:ascii="Times New Roman" w:cs="Times New Roman" w:eastAsia="Times New Roman" w:hAnsi="Times New Roman"/>
          <w:sz w:val="18"/>
          <w:szCs w:val="18"/>
          <w:color w:val="auto"/>
        </w:rPr>
        <w:t>. Service of process, summons, notice, or other document by mail to such party’s address set out herein shall be effective service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process for any suit, action, or other proceeding brought in any such court.</w:t>
      </w:r>
    </w:p>
    <w:p>
      <w:pPr>
        <w:spacing w:after="0" w:line="188" w:lineRule="exact"/>
        <w:rPr>
          <w:rFonts w:ascii="Times New Roman" w:cs="Times New Roman" w:eastAsia="Times New Roman" w:hAnsi="Times New Roman"/>
          <w:sz w:val="18"/>
          <w:szCs w:val="18"/>
          <w:color w:val="auto"/>
        </w:rPr>
      </w:pPr>
    </w:p>
    <w:p>
      <w:pPr>
        <w:jc w:val="both"/>
        <w:ind w:left="-656" w:firstLine="656"/>
        <w:spacing w:after="0" w:line="253" w:lineRule="auto"/>
        <w:tabs>
          <w:tab w:leader="none" w:pos="6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 Amendments</w:t>
      </w:r>
      <w:r>
        <w:rPr>
          <w:rFonts w:ascii="Times New Roman" w:cs="Times New Roman" w:eastAsia="Times New Roman" w:hAnsi="Times New Roman"/>
          <w:sz w:val="18"/>
          <w:szCs w:val="18"/>
          <w:color w:val="auto"/>
        </w:rPr>
        <w:t>. This Agreement sets forth the entire agreement concerning the subject matter hereof, and supersedes all prior negotiations, understandings, and agreements, written or oral, to the extent relating to the exchange of Evaluation Material contemplated hereby or any Transaction Information, including (but solely with respect to Confidential Information disclosed on or after the date hereof) that certain Confidentiality Agreement, dated as of August 27, 2025 (the “</w:t>
      </w:r>
      <w:r>
        <w:rPr>
          <w:rFonts w:ascii="Times New Roman" w:cs="Times New Roman" w:eastAsia="Times New Roman" w:hAnsi="Times New Roman"/>
          <w:sz w:val="18"/>
          <w:szCs w:val="18"/>
          <w:u w:val="single" w:color="auto"/>
          <w:color w:val="auto"/>
        </w:rPr>
        <w:t>Prior Confidentiality Agreement</w:t>
      </w:r>
      <w:r>
        <w:rPr>
          <w:rFonts w:ascii="Times New Roman" w:cs="Times New Roman" w:eastAsia="Times New Roman" w:hAnsi="Times New Roman"/>
          <w:sz w:val="18"/>
          <w:szCs w:val="18"/>
          <w:color w:val="auto"/>
        </w:rPr>
        <w:t xml:space="preserve">”), between the Company and the Recipient;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Prior Confidentiality Agreement shall remain in full force and effect in accordance with its terms with respect to Confidential Information (as defined in the Prior Confidentiality Agreement) disclosed thereunder prior to the date hereof. The terms of this Agreement shall control over any additional purported confidentiality requirements imposed by any offering memorandum, web-based database, or similar repository of Evaluation Material to which the Recipient or any of its Representatives is granted access in connection with the evaluation, negotiation, or consummation of the Transaction, notwithstanding acceptance of such an offering memorandum or submission of an electronic signature, “clicking” on an “I Agree” icon, or other indication of assent to such additional confidentiality conditions, it being understood and agreed that the confidentiality obligations with respect to Confidential Information are exclusively governed by this Agreement and will not be modified by any such additional purported confidentiality requirements. No provision of this Agreement may be modified, amended, or changed except by a writing signed by the parties hereto.</w:t>
      </w:r>
    </w:p>
    <w:p>
      <w:pPr>
        <w:spacing w:after="0" w:line="189" w:lineRule="exact"/>
        <w:rPr>
          <w:rFonts w:ascii="Times New Roman" w:cs="Times New Roman" w:eastAsia="Times New Roman" w:hAnsi="Times New Roman"/>
          <w:sz w:val="18"/>
          <w:szCs w:val="18"/>
          <w:color w:val="auto"/>
        </w:rPr>
      </w:pPr>
    </w:p>
    <w:p>
      <w:pPr>
        <w:jc w:val="both"/>
        <w:ind w:left="-656" w:firstLine="656"/>
        <w:spacing w:after="0" w:line="266" w:lineRule="auto"/>
        <w:tabs>
          <w:tab w:leader="none" w:pos="6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of this Agreement, or the application thereof to any Person, place, or circumstance, shall be held by a court of competent jurisdiction to be invalid, unenforceable, or void, the remainder of this Agreement and such provision as applied to other Persons, places, or circumstances shall remain in full force and effect.</w:t>
      </w:r>
    </w:p>
    <w:p>
      <w:pPr>
        <w:spacing w:after="0" w:line="351" w:lineRule="exact"/>
        <w:rPr>
          <w:rFonts w:ascii="Times New Roman" w:cs="Times New Roman" w:eastAsia="Times New Roman" w:hAnsi="Times New Roman"/>
          <w:sz w:val="18"/>
          <w:szCs w:val="18"/>
          <w:color w:val="auto"/>
        </w:rPr>
      </w:pPr>
    </w:p>
    <w:p>
      <w:pPr>
        <w:ind w:left="4924" w:hanging="106"/>
        <w:spacing w:after="0"/>
        <w:tabs>
          <w:tab w:leader="none" w:pos="4924"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51435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21" w:right="339" w:bottom="1440" w:gutter="0" w:footer="0" w:header="0"/>
        </w:sectPr>
      </w:pPr>
    </w:p>
    <w:bookmarkStart w:id="111" w:name="page112"/>
    <w:bookmarkEnd w:id="111"/>
    <w:p>
      <w:pPr>
        <w:jc w:val="both"/>
        <w:ind w:firstLine="656"/>
        <w:spacing w:after="0" w:line="256" w:lineRule="auto"/>
        <w:tabs>
          <w:tab w:leader="none" w:pos="1296"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xml:space="preserve">. All notices, requests, consents, claims, demands, waivers, and other communications hereunder shall be in writing and shall be deemed to have been given: (a) when delivered by hand (with written confirmation of receipt); (b) when received by the addressee if sent by a nationally recognized overnight courier (receipt requested); (c) on the date sent by email or other electronic delivery (with oral or written confirmation of receipt) if sent during normal business hours of the recipient, and on the next business day if sent after normal business hours of the recipient; or (d) on the third day after the date mailed, by certified or registered mail, return receipt requested, postage prepaid. Such communications must be sent to the respective parties at the following addresses (or to such other address that may be designated by a party from time to time in accordance with this </w:t>
      </w:r>
      <w:r>
        <w:rPr>
          <w:rFonts w:ascii="Times New Roman" w:cs="Times New Roman" w:eastAsia="Times New Roman" w:hAnsi="Times New Roman"/>
          <w:sz w:val="18"/>
          <w:szCs w:val="18"/>
          <w:u w:val="single" w:color="auto"/>
          <w:color w:val="auto"/>
        </w:rPr>
        <w:t>Section 19</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If to the Company:</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Pacira BioSciences, Inc.</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2000 Sierra Point Parkway, Suite 900</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Brisbane, California 94005</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Attention: Kristen Williams</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Email: [***]</w:t>
      </w:r>
    </w:p>
    <w:p>
      <w:pPr>
        <w:spacing w:after="0" w:line="2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If to the Recipient:</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Viatris Inc.</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1000 Mylan Boulevard</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Canonsburg, Pennsylvania 15317</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Attention: Matthew J. Maletta, Chief Legal Officer</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Email: [***]</w:t>
      </w:r>
    </w:p>
    <w:p>
      <w:pPr>
        <w:spacing w:after="0" w:line="207" w:lineRule="exact"/>
        <w:rPr>
          <w:sz w:val="20"/>
          <w:szCs w:val="20"/>
          <w:color w:val="auto"/>
        </w:rPr>
      </w:pPr>
    </w:p>
    <w:p>
      <w:pPr>
        <w:jc w:val="both"/>
        <w:ind w:firstLine="656"/>
        <w:spacing w:after="0" w:line="258" w:lineRule="auto"/>
        <w:tabs>
          <w:tab w:leader="none" w:pos="1296"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The Recipient may not assign or delegate this Agreement or any of its rights or obligations hereunder without the prior written consent of the Company. Any purported assignment or delegation by the Recipient without such consent shall be void and unenforceable. The Company may assign any of its rights or delegate any of its obligations hereunder without the consent of the Recipient. Any purchaser of the Company, or of all or substantially all of the assets of the Company, shall be entitled to the benefits of this Agreement, whether or not this Agreement is assigned to such purchaser.</w:t>
      </w:r>
    </w:p>
    <w:p>
      <w:pPr>
        <w:spacing w:after="0" w:line="183" w:lineRule="exact"/>
        <w:rPr>
          <w:rFonts w:ascii="Times New Roman" w:cs="Times New Roman" w:eastAsia="Times New Roman" w:hAnsi="Times New Roman"/>
          <w:sz w:val="18"/>
          <w:szCs w:val="18"/>
          <w:color w:val="auto"/>
        </w:rPr>
      </w:pPr>
    </w:p>
    <w:p>
      <w:pPr>
        <w:jc w:val="both"/>
        <w:ind w:firstLine="656"/>
        <w:spacing w:after="0" w:line="256" w:lineRule="auto"/>
        <w:tabs>
          <w:tab w:leader="none" w:pos="1296"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Waivers</w:t>
      </w:r>
      <w:r>
        <w:rPr>
          <w:rFonts w:ascii="Times New Roman" w:cs="Times New Roman" w:eastAsia="Times New Roman" w:hAnsi="Times New Roman"/>
          <w:sz w:val="18"/>
          <w:szCs w:val="18"/>
          <w:color w:val="auto"/>
        </w:rPr>
        <w:t>. No waiver by any party of any of the provisions hereof shall be effective unless explicitly set out in writing and signed by the party so waiving. No waiver by any party shall operate or be construed as a waiver in respect of any failure, breach, or default not expressly identified by such written waiver, whether of a similar or different character, and whether occurring before or after that waiver. No failure to exercise, or delay in exercising, any right, remedy, power, or privilege arising from this Agreement shall operate or be construed as a waiver thereof; nor shall any single or partial exercise of any right, remedy, power, or privilege hereunder preclude any other or further exercise thereof or the exercise of any other right, remedy, power, or privilege.</w:t>
      </w:r>
    </w:p>
    <w:p>
      <w:pPr>
        <w:spacing w:after="0" w:line="187" w:lineRule="exact"/>
        <w:rPr>
          <w:rFonts w:ascii="Times New Roman" w:cs="Times New Roman" w:eastAsia="Times New Roman" w:hAnsi="Times New Roman"/>
          <w:sz w:val="18"/>
          <w:szCs w:val="18"/>
          <w:color w:val="auto"/>
        </w:rPr>
      </w:pPr>
    </w:p>
    <w:p>
      <w:pPr>
        <w:ind w:right="20" w:firstLine="656"/>
        <w:spacing w:after="0" w:line="282" w:lineRule="auto"/>
        <w:tabs>
          <w:tab w:leader="none" w:pos="1296"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Headings included in this Agreement are for the convenience of the parties only and will be given no substantive or interpretive effect.</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1296"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counterparts, each of which shall be deemed an original, but all of which together shall be deemed to be one and the same agreement. A signed copy of this Agreement delivered by email or other means of electronic transmission shall be deemed to have the same legal effect as delivery of an original signed copy of this Agreement.</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color w:val="auto"/>
        </w:rPr>
        <w:t>The parties have executed this Agreement to be effective as of the date first above written.</w:t>
      </w:r>
    </w:p>
    <w:p>
      <w:pPr>
        <w:spacing w:after="0" w:line="22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PACIRA BIOSCIENCES, INC.</w:t>
      </w:r>
    </w:p>
    <w:p>
      <w:pPr>
        <w:spacing w:after="0" w:line="225" w:lineRule="exact"/>
        <w:rPr>
          <w:sz w:val="20"/>
          <w:szCs w:val="20"/>
          <w:color w:val="auto"/>
        </w:rPr>
      </w:pPr>
    </w:p>
    <w:p>
      <w:pPr>
        <w:ind w:left="4960"/>
        <w:spacing w:after="0"/>
        <w:tabs>
          <w:tab w:leader="none" w:pos="54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Anthony Molloy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3495040</wp:posOffset>
            </wp:positionH>
            <wp:positionV relativeFrom="paragraph">
              <wp:posOffset>17145</wp:posOffset>
            </wp:positionV>
            <wp:extent cx="322326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6">
                      <a:extLst>
                        <a:ext uri="{28A0092B-C50C-407E-A947-70E740481C1C}"/>
                      </a:extLst>
                    </a:blip>
                    <a:srcRect/>
                    <a:stretch>
                      <a:fillRect/>
                    </a:stretch>
                  </pic:blipFill>
                  <pic:spPr bwMode="auto">
                    <a:xfrm>
                      <a:off x="0" y="0"/>
                      <a:ext cx="3223260" cy="17145"/>
                    </a:xfrm>
                    <a:prstGeom prst="rect">
                      <a:avLst/>
                    </a:prstGeom>
                    <a:noFill/>
                  </pic:spPr>
                </pic:pic>
              </a:graphicData>
            </a:graphic>
          </wp:anchor>
        </w:drawing>
      </w:r>
    </w:p>
    <w:p>
      <w:pPr>
        <w:spacing w:after="0" w:line="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Name: Anthony Molloy</w:t>
      </w:r>
    </w:p>
    <w:p>
      <w:pPr>
        <w:spacing w:after="0" w:line="36" w:lineRule="exact"/>
        <w:rPr>
          <w:sz w:val="20"/>
          <w:szCs w:val="20"/>
          <w:color w:val="auto"/>
        </w:rPr>
      </w:pPr>
    </w:p>
    <w:p>
      <w:pPr>
        <w:jc w:val="right"/>
        <w:ind w:right="244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tab/>
        <w:t>Chief Legal and Compliance Officer</w:t>
      </w:r>
    </w:p>
    <w:p>
      <w:pPr>
        <w:spacing w:after="0" w:line="200" w:lineRule="exact"/>
        <w:rPr>
          <w:sz w:val="20"/>
          <w:szCs w:val="20"/>
          <w:color w:val="auto"/>
        </w:rPr>
      </w:pPr>
    </w:p>
    <w:p>
      <w:pPr>
        <w:spacing w:after="0" w:line="223" w:lineRule="exact"/>
        <w:rPr>
          <w:sz w:val="20"/>
          <w:szCs w:val="20"/>
          <w:color w:val="auto"/>
        </w:rPr>
      </w:pPr>
    </w:p>
    <w:p>
      <w:pPr>
        <w:jc w:val="center"/>
        <w:ind w:left="1080"/>
        <w:spacing w:after="0"/>
        <w:rPr>
          <w:sz w:val="20"/>
          <w:szCs w:val="20"/>
          <w:color w:val="auto"/>
        </w:rPr>
      </w:pPr>
      <w:r>
        <w:rPr>
          <w:rFonts w:ascii="Times New Roman" w:cs="Times New Roman" w:eastAsia="Times New Roman" w:hAnsi="Times New Roman"/>
          <w:sz w:val="18"/>
          <w:szCs w:val="18"/>
          <w:color w:val="auto"/>
        </w:rPr>
        <w:t>VIATRIS INC.</w:t>
      </w:r>
    </w:p>
    <w:p>
      <w:pPr>
        <w:spacing w:after="0" w:line="225" w:lineRule="exact"/>
        <w:rPr>
          <w:sz w:val="20"/>
          <w:szCs w:val="20"/>
          <w:color w:val="auto"/>
        </w:rPr>
      </w:pPr>
    </w:p>
    <w:tbl>
      <w:tblPr>
        <w:tblLayout w:type="fixed"/>
        <w:tblInd w:w="4960" w:type="dxa"/>
        <w:tblCellMar>
          <w:top w:w="0" w:type="dxa"/>
          <w:left w:w="0" w:type="dxa"/>
          <w:bottom w:w="0" w:type="dxa"/>
          <w:right w:w="0" w:type="dxa"/>
        </w:tblCellMar>
      </w:tblPr>
      <w:tr>
        <w:trPr>
          <w:trHeight w:val="241"/>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Hemanth Varghese</w:t>
            </w:r>
          </w:p>
        </w:tc>
      </w:tr>
      <w:tr>
        <w:trPr>
          <w:trHeight w:val="198"/>
        </w:trPr>
        <w:tc>
          <w:tcPr>
            <w:tcW w:w="5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5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Hemanth Varghese</w:t>
            </w:r>
          </w:p>
        </w:tc>
      </w:tr>
      <w:tr>
        <w:trPr>
          <w:trHeight w:val="23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Chief Strategy Officer</w:t>
            </w:r>
          </w:p>
        </w:tc>
      </w:tr>
    </w:tbl>
    <w:p>
      <w:pPr>
        <w:spacing w:after="0" w:line="198"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[Signature Page to Confidentiality Agreement]</w:t>
      </w:r>
    </w:p>
    <w:p>
      <w:pPr>
        <w:spacing w:after="0" w:line="200" w:lineRule="exact"/>
        <w:rPr>
          <w:sz w:val="20"/>
          <w:szCs w:val="20"/>
          <w:color w:val="auto"/>
        </w:rPr>
      </w:pPr>
    </w:p>
    <w:p>
      <w:pPr>
        <w:spacing w:after="0" w:line="228"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68580</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21" w:right="339" w:bottom="1440" w:gutter="0" w:footer="0" w:header="0"/>
        </w:sectPr>
      </w:pPr>
    </w:p>
    <w:bookmarkStart w:id="113" w:name="page114"/>
    <w:bookmarkEnd w:id="113"/>
    <w:p>
      <w:pPr>
        <w:jc w:val="right"/>
        <w:ind w:right="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107</w:t>
      </w:r>
    </w:p>
    <w:p>
      <w:pPr>
        <w:spacing w:after="0" w:line="1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Calculation of Filing Fee Table</w:t>
      </w:r>
    </w:p>
    <w:p>
      <w:pPr>
        <w:spacing w:after="0" w:line="1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SCHEDULE TO</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(Rule 14d-100)</w:t>
      </w: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PACIRA BIOSCIENCES,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(Name of Subject Company (Issuer))</w:t>
      </w: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PEACH PURCHASER SUB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(Offeror)</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 Wholly Owned Subsidiary of</w:t>
      </w: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VIATRIS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(Parent of Offeror)</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(Name of Filing Persons (identifying status as offeror, issuer or other person))</w:t>
      </w: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t>Table 1 - Transaction Valuation</w:t>
      </w:r>
    </w:p>
    <w:p>
      <w:pPr>
        <w:spacing w:after="0" w:line="38"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3300" w:type="dxa"/>
            <w:vAlign w:val="bottom"/>
            <w:tcBorders>
              <w:top w:val="single" w:sz="8" w:color="auto"/>
              <w:left w:val="single" w:sz="8" w:color="auto"/>
              <w:right w:val="single" w:sz="8" w:color="auto"/>
            </w:tcBorders>
          </w:tcPr>
          <w:p>
            <w:pPr>
              <w:spacing w:after="0"/>
              <w:rPr>
                <w:sz w:val="22"/>
                <w:szCs w:val="22"/>
                <w:color w:val="auto"/>
              </w:rPr>
            </w:pPr>
          </w:p>
        </w:tc>
        <w:tc>
          <w:tcPr>
            <w:tcW w:w="220" w:type="dxa"/>
            <w:vAlign w:val="bottom"/>
            <w:tcBorders>
              <w:top w:val="single" w:sz="8" w:color="auto"/>
              <w:right w:val="single" w:sz="8" w:color="auto"/>
            </w:tcBorders>
          </w:tcPr>
          <w:p>
            <w:pPr>
              <w:spacing w:after="0"/>
              <w:rPr>
                <w:sz w:val="22"/>
                <w:szCs w:val="22"/>
                <w:color w:val="auto"/>
              </w:rPr>
            </w:pPr>
          </w:p>
        </w:tc>
        <w:tc>
          <w:tcPr>
            <w:tcW w:w="2580" w:type="dxa"/>
            <w:vAlign w:val="bottom"/>
            <w:tcBorders>
              <w:top w:val="single" w:sz="8" w:color="auto"/>
              <w:right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rPr>
              <w:t>Transaction Valuation</w:t>
            </w:r>
          </w:p>
        </w:tc>
        <w:tc>
          <w:tcPr>
            <w:tcW w:w="2580" w:type="dxa"/>
            <w:vAlign w:val="bottom"/>
            <w:tcBorders>
              <w:top w:val="single" w:sz="8" w:color="auto"/>
              <w:right w:val="single" w:sz="8" w:color="auto"/>
            </w:tcBorders>
          </w:tcPr>
          <w:p>
            <w:pPr>
              <w:ind w:left="940"/>
              <w:spacing w:after="0"/>
              <w:rPr>
                <w:sz w:val="20"/>
                <w:szCs w:val="20"/>
                <w:color w:val="auto"/>
              </w:rPr>
            </w:pPr>
            <w:r>
              <w:rPr>
                <w:rFonts w:ascii="Times New Roman" w:cs="Times New Roman" w:eastAsia="Times New Roman" w:hAnsi="Times New Roman"/>
                <w:sz w:val="18"/>
                <w:szCs w:val="18"/>
                <w:b w:val="1"/>
                <w:bCs w:val="1"/>
                <w:color w:val="auto"/>
              </w:rPr>
              <w:t>Fee Rate</w:t>
            </w:r>
          </w:p>
        </w:tc>
        <w:tc>
          <w:tcPr>
            <w:tcW w:w="2580" w:type="dxa"/>
            <w:vAlign w:val="bottom"/>
            <w:tcBorders>
              <w:top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b w:val="1"/>
                <w:bCs w:val="1"/>
                <w:color w:val="auto"/>
              </w:rPr>
              <w:t>Amount of Filing Fee</w:t>
            </w:r>
          </w:p>
        </w:tc>
      </w:tr>
      <w:tr>
        <w:trPr>
          <w:trHeight w:val="27"/>
        </w:trPr>
        <w:tc>
          <w:tcPr>
            <w:tcW w:w="3300" w:type="dxa"/>
            <w:vAlign w:val="bottom"/>
            <w:tcBorders>
              <w:left w:val="single" w:sz="8" w:color="auto"/>
              <w:bottom w:val="single" w:sz="8" w:color="auto"/>
              <w:right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r>
      <w:tr>
        <w:trPr>
          <w:trHeight w:val="257"/>
        </w:trPr>
        <w:tc>
          <w:tcPr>
            <w:tcW w:w="330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Fees to Be Paid</w:t>
            </w:r>
          </w:p>
        </w:tc>
        <w:tc>
          <w:tcPr>
            <w:tcW w:w="2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5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$1,649,844,742.34</w:t>
            </w:r>
          </w:p>
        </w:tc>
        <w:tc>
          <w:tcPr>
            <w:tcW w:w="2580" w:type="dxa"/>
            <w:vAlign w:val="bottom"/>
            <w:tcBorders>
              <w:bottom w:val="single" w:sz="8" w:color="auto"/>
              <w:right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0.000087</w:t>
            </w:r>
          </w:p>
        </w:tc>
        <w:tc>
          <w:tcPr>
            <w:tcW w:w="25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$143,536.49</w:t>
            </w:r>
          </w:p>
        </w:tc>
      </w:tr>
      <w:tr>
        <w:trPr>
          <w:trHeight w:val="243"/>
        </w:trPr>
        <w:tc>
          <w:tcPr>
            <w:tcW w:w="33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Fees Previously Paid</w:t>
            </w:r>
          </w:p>
        </w:tc>
        <w:tc>
          <w:tcPr>
            <w:tcW w:w="220" w:type="dxa"/>
            <w:vAlign w:val="bottom"/>
            <w:tcBorders>
              <w:right w:val="single" w:sz="8" w:color="auto"/>
            </w:tcBorders>
          </w:tcPr>
          <w:p>
            <w:pPr>
              <w:spacing w:after="0"/>
              <w:rPr>
                <w:sz w:val="21"/>
                <w:szCs w:val="21"/>
                <w:color w:val="auto"/>
              </w:rPr>
            </w:pPr>
          </w:p>
        </w:tc>
        <w:tc>
          <w:tcPr>
            <w:tcW w:w="2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580" w:type="dxa"/>
            <w:vAlign w:val="bottom"/>
            <w:tcBorders>
              <w:right w:val="single" w:sz="8" w:color="auto"/>
            </w:tcBorders>
          </w:tcPr>
          <w:p>
            <w:pPr>
              <w:spacing w:after="0"/>
              <w:rPr>
                <w:sz w:val="21"/>
                <w:szCs w:val="21"/>
                <w:color w:val="auto"/>
              </w:rPr>
            </w:pPr>
          </w:p>
        </w:tc>
        <w:tc>
          <w:tcPr>
            <w:tcW w:w="2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7"/>
        </w:trPr>
        <w:tc>
          <w:tcPr>
            <w:tcW w:w="3300" w:type="dxa"/>
            <w:vAlign w:val="bottom"/>
            <w:tcBorders>
              <w:left w:val="single" w:sz="8" w:color="auto"/>
              <w:bottom w:val="single" w:sz="8" w:color="auto"/>
              <w:right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r>
      <w:tr>
        <w:trPr>
          <w:trHeight w:val="268"/>
        </w:trPr>
        <w:tc>
          <w:tcPr>
            <w:tcW w:w="3300" w:type="dxa"/>
            <w:vAlign w:val="bottom"/>
            <w:tcBorders>
              <w:left w:val="single" w:sz="8" w:color="auto"/>
              <w:bottom w:val="single" w:sz="8" w:color="CCEEFF"/>
              <w:right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b w:val="1"/>
                <w:bCs w:val="1"/>
                <w:color w:val="auto"/>
              </w:rPr>
              <w:t>Total Transaction Valuation</w:t>
            </w:r>
          </w:p>
        </w:tc>
        <w:tc>
          <w:tcPr>
            <w:tcW w:w="220" w:type="dxa"/>
            <w:vAlign w:val="bottom"/>
            <w:tcBorders>
              <w:bottom w:val="single" w:sz="8" w:color="CCEEFF"/>
              <w:right w:val="single" w:sz="8" w:color="auto"/>
            </w:tcBorders>
            <w:shd w:val="clear" w:color="auto" w:fill="CCEEFF"/>
          </w:tcPr>
          <w:p>
            <w:pPr>
              <w:spacing w:after="0"/>
              <w:rPr>
                <w:sz w:val="22"/>
                <w:szCs w:val="22"/>
                <w:color w:val="auto"/>
              </w:rPr>
            </w:pPr>
          </w:p>
        </w:tc>
        <w:tc>
          <w:tcPr>
            <w:tcW w:w="25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$1,649,844,742.34</w:t>
            </w:r>
          </w:p>
        </w:tc>
        <w:tc>
          <w:tcPr>
            <w:tcW w:w="2580" w:type="dxa"/>
            <w:vAlign w:val="bottom"/>
            <w:tcBorders>
              <w:bottom w:val="single" w:sz="8" w:color="CCEEFF"/>
              <w:right w:val="single" w:sz="8" w:color="auto"/>
            </w:tcBorders>
            <w:shd w:val="clear" w:color="auto" w:fill="CCEEFF"/>
          </w:tcPr>
          <w:p>
            <w:pPr>
              <w:spacing w:after="0"/>
              <w:rPr>
                <w:sz w:val="22"/>
                <w:szCs w:val="22"/>
                <w:color w:val="auto"/>
              </w:rPr>
            </w:pPr>
          </w:p>
        </w:tc>
        <w:tc>
          <w:tcPr>
            <w:tcW w:w="2580" w:type="dxa"/>
            <w:vAlign w:val="bottom"/>
            <w:tcBorders>
              <w:bottom w:val="single" w:sz="8" w:color="CCEEFF"/>
              <w:right w:val="single" w:sz="8" w:color="auto"/>
            </w:tcBorders>
            <w:shd w:val="clear" w:color="auto" w:fill="CCEEFF"/>
          </w:tcPr>
          <w:p>
            <w:pPr>
              <w:spacing w:after="0"/>
              <w:rPr>
                <w:sz w:val="22"/>
                <w:szCs w:val="22"/>
                <w:color w:val="auto"/>
              </w:rPr>
            </w:pPr>
          </w:p>
        </w:tc>
      </w:tr>
      <w:tr>
        <w:trPr>
          <w:trHeight w:val="237"/>
        </w:trPr>
        <w:tc>
          <w:tcPr>
            <w:tcW w:w="3300" w:type="dxa"/>
            <w:vAlign w:val="bottom"/>
            <w:tcBorders>
              <w:top w:val="single" w:sz="8" w:color="auto"/>
              <w:left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Total Fees Due for Filing</w:t>
            </w:r>
          </w:p>
        </w:tc>
        <w:tc>
          <w:tcPr>
            <w:tcW w:w="220" w:type="dxa"/>
            <w:vAlign w:val="bottom"/>
            <w:tcBorders>
              <w:top w:val="single" w:sz="8" w:color="auto"/>
              <w:right w:val="single" w:sz="8" w:color="auto"/>
            </w:tcBorders>
          </w:tcPr>
          <w:p>
            <w:pPr>
              <w:spacing w:after="0"/>
              <w:rPr>
                <w:sz w:val="20"/>
                <w:szCs w:val="20"/>
                <w:color w:val="auto"/>
              </w:rPr>
            </w:pPr>
          </w:p>
        </w:tc>
        <w:tc>
          <w:tcPr>
            <w:tcW w:w="2580" w:type="dxa"/>
            <w:vAlign w:val="bottom"/>
            <w:tcBorders>
              <w:top w:val="single" w:sz="8" w:color="auto"/>
              <w:right w:val="single" w:sz="8" w:color="auto"/>
            </w:tcBorders>
          </w:tcPr>
          <w:p>
            <w:pPr>
              <w:spacing w:after="0"/>
              <w:rPr>
                <w:sz w:val="20"/>
                <w:szCs w:val="20"/>
                <w:color w:val="auto"/>
              </w:rPr>
            </w:pPr>
          </w:p>
        </w:tc>
        <w:tc>
          <w:tcPr>
            <w:tcW w:w="2580" w:type="dxa"/>
            <w:vAlign w:val="bottom"/>
            <w:tcBorders>
              <w:top w:val="single" w:sz="8" w:color="auto"/>
              <w:right w:val="single" w:sz="8" w:color="auto"/>
            </w:tcBorders>
          </w:tcPr>
          <w:p>
            <w:pPr>
              <w:spacing w:after="0"/>
              <w:rPr>
                <w:sz w:val="20"/>
                <w:szCs w:val="20"/>
                <w:color w:val="auto"/>
              </w:rPr>
            </w:pPr>
          </w:p>
        </w:tc>
        <w:tc>
          <w:tcPr>
            <w:tcW w:w="25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$143,536.49</w:t>
            </w:r>
          </w:p>
        </w:tc>
      </w:tr>
      <w:tr>
        <w:trPr>
          <w:trHeight w:val="27"/>
        </w:trPr>
        <w:tc>
          <w:tcPr>
            <w:tcW w:w="3300" w:type="dxa"/>
            <w:vAlign w:val="bottom"/>
            <w:tcBorders>
              <w:left w:val="single" w:sz="8" w:color="auto"/>
              <w:bottom w:val="single" w:sz="8" w:color="auto"/>
              <w:right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r>
      <w:tr>
        <w:trPr>
          <w:trHeight w:val="268"/>
        </w:trPr>
        <w:tc>
          <w:tcPr>
            <w:tcW w:w="3300" w:type="dxa"/>
            <w:vAlign w:val="bottom"/>
            <w:tcBorders>
              <w:left w:val="single" w:sz="8" w:color="auto"/>
              <w:bottom w:val="single" w:sz="8" w:color="CCEEFF"/>
              <w:right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b w:val="1"/>
                <w:bCs w:val="1"/>
                <w:color w:val="auto"/>
              </w:rPr>
              <w:t>Total Fees Previously Paid</w:t>
            </w:r>
          </w:p>
        </w:tc>
        <w:tc>
          <w:tcPr>
            <w:tcW w:w="220" w:type="dxa"/>
            <w:vAlign w:val="bottom"/>
            <w:tcBorders>
              <w:bottom w:val="single" w:sz="8" w:color="CCEEFF"/>
              <w:right w:val="single" w:sz="8" w:color="auto"/>
            </w:tcBorders>
            <w:shd w:val="clear" w:color="auto" w:fill="CCEEFF"/>
          </w:tcPr>
          <w:p>
            <w:pPr>
              <w:spacing w:after="0"/>
              <w:rPr>
                <w:sz w:val="22"/>
                <w:szCs w:val="22"/>
                <w:color w:val="auto"/>
              </w:rPr>
            </w:pPr>
          </w:p>
        </w:tc>
        <w:tc>
          <w:tcPr>
            <w:tcW w:w="2580" w:type="dxa"/>
            <w:vAlign w:val="bottom"/>
            <w:tcBorders>
              <w:bottom w:val="single" w:sz="8" w:color="CCEEFF"/>
              <w:right w:val="single" w:sz="8" w:color="auto"/>
            </w:tcBorders>
            <w:shd w:val="clear" w:color="auto" w:fill="CCEEFF"/>
          </w:tcPr>
          <w:p>
            <w:pPr>
              <w:spacing w:after="0"/>
              <w:rPr>
                <w:sz w:val="22"/>
                <w:szCs w:val="22"/>
                <w:color w:val="auto"/>
              </w:rPr>
            </w:pPr>
          </w:p>
        </w:tc>
        <w:tc>
          <w:tcPr>
            <w:tcW w:w="2580" w:type="dxa"/>
            <w:vAlign w:val="bottom"/>
            <w:tcBorders>
              <w:bottom w:val="single" w:sz="8" w:color="CCEEFF"/>
              <w:right w:val="single" w:sz="8" w:color="auto"/>
            </w:tcBorders>
            <w:shd w:val="clear" w:color="auto" w:fill="CCEEFF"/>
          </w:tcPr>
          <w:p>
            <w:pPr>
              <w:spacing w:after="0"/>
              <w:rPr>
                <w:sz w:val="22"/>
                <w:szCs w:val="22"/>
                <w:color w:val="auto"/>
              </w:rPr>
            </w:pPr>
          </w:p>
        </w:tc>
        <w:tc>
          <w:tcPr>
            <w:tcW w:w="25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37"/>
        </w:trPr>
        <w:tc>
          <w:tcPr>
            <w:tcW w:w="3300" w:type="dxa"/>
            <w:vAlign w:val="bottom"/>
            <w:tcBorders>
              <w:top w:val="single" w:sz="8" w:color="auto"/>
              <w:left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Total Fee Offsets</w:t>
            </w:r>
          </w:p>
        </w:tc>
        <w:tc>
          <w:tcPr>
            <w:tcW w:w="220" w:type="dxa"/>
            <w:vAlign w:val="bottom"/>
            <w:tcBorders>
              <w:top w:val="single" w:sz="8" w:color="auto"/>
              <w:right w:val="single" w:sz="8" w:color="auto"/>
            </w:tcBorders>
          </w:tcPr>
          <w:p>
            <w:pPr>
              <w:spacing w:after="0"/>
              <w:rPr>
                <w:sz w:val="20"/>
                <w:szCs w:val="20"/>
                <w:color w:val="auto"/>
              </w:rPr>
            </w:pPr>
          </w:p>
        </w:tc>
        <w:tc>
          <w:tcPr>
            <w:tcW w:w="2580" w:type="dxa"/>
            <w:vAlign w:val="bottom"/>
            <w:tcBorders>
              <w:top w:val="single" w:sz="8" w:color="auto"/>
              <w:right w:val="single" w:sz="8" w:color="auto"/>
            </w:tcBorders>
          </w:tcPr>
          <w:p>
            <w:pPr>
              <w:spacing w:after="0"/>
              <w:rPr>
                <w:sz w:val="20"/>
                <w:szCs w:val="20"/>
                <w:color w:val="auto"/>
              </w:rPr>
            </w:pPr>
          </w:p>
        </w:tc>
        <w:tc>
          <w:tcPr>
            <w:tcW w:w="2580" w:type="dxa"/>
            <w:vAlign w:val="bottom"/>
            <w:tcBorders>
              <w:top w:val="single" w:sz="8" w:color="auto"/>
              <w:right w:val="single" w:sz="8" w:color="auto"/>
            </w:tcBorders>
          </w:tcPr>
          <w:p>
            <w:pPr>
              <w:spacing w:after="0"/>
              <w:rPr>
                <w:sz w:val="20"/>
                <w:szCs w:val="20"/>
                <w:color w:val="auto"/>
              </w:rPr>
            </w:pPr>
          </w:p>
        </w:tc>
        <w:tc>
          <w:tcPr>
            <w:tcW w:w="25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7"/>
        </w:trPr>
        <w:tc>
          <w:tcPr>
            <w:tcW w:w="3300" w:type="dxa"/>
            <w:vAlign w:val="bottom"/>
            <w:tcBorders>
              <w:left w:val="single" w:sz="8" w:color="auto"/>
              <w:bottom w:val="single" w:sz="8" w:color="auto"/>
              <w:right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r>
      <w:tr>
        <w:trPr>
          <w:trHeight w:val="244"/>
        </w:trPr>
        <w:tc>
          <w:tcPr>
            <w:tcW w:w="3300" w:type="dxa"/>
            <w:vAlign w:val="bottom"/>
            <w:tcBorders>
              <w:left w:val="single" w:sz="8" w:color="auto"/>
              <w:bottom w:val="single" w:sz="8" w:color="CCEEFF"/>
              <w:right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b w:val="1"/>
                <w:bCs w:val="1"/>
                <w:color w:val="auto"/>
              </w:rPr>
              <w:t>Net Fee Due</w:t>
            </w:r>
          </w:p>
        </w:tc>
        <w:tc>
          <w:tcPr>
            <w:tcW w:w="220" w:type="dxa"/>
            <w:vAlign w:val="bottom"/>
            <w:tcBorders>
              <w:bottom w:val="single" w:sz="8" w:color="CCEEFF"/>
              <w:right w:val="single" w:sz="8" w:color="auto"/>
            </w:tcBorders>
            <w:shd w:val="clear" w:color="auto" w:fill="CCEEFF"/>
          </w:tcPr>
          <w:p>
            <w:pPr>
              <w:spacing w:after="0"/>
              <w:rPr>
                <w:sz w:val="21"/>
                <w:szCs w:val="21"/>
                <w:color w:val="auto"/>
              </w:rPr>
            </w:pPr>
          </w:p>
        </w:tc>
        <w:tc>
          <w:tcPr>
            <w:tcW w:w="2580" w:type="dxa"/>
            <w:vAlign w:val="bottom"/>
            <w:tcBorders>
              <w:bottom w:val="single" w:sz="8" w:color="CCEEFF"/>
              <w:right w:val="single" w:sz="8" w:color="auto"/>
            </w:tcBorders>
            <w:shd w:val="clear" w:color="auto" w:fill="CCEEFF"/>
          </w:tcPr>
          <w:p>
            <w:pPr>
              <w:spacing w:after="0"/>
              <w:rPr>
                <w:sz w:val="21"/>
                <w:szCs w:val="21"/>
                <w:color w:val="auto"/>
              </w:rPr>
            </w:pPr>
          </w:p>
        </w:tc>
        <w:tc>
          <w:tcPr>
            <w:tcW w:w="2580" w:type="dxa"/>
            <w:vAlign w:val="bottom"/>
            <w:tcBorders>
              <w:bottom w:val="single" w:sz="8" w:color="CCEEFF"/>
              <w:right w:val="single" w:sz="8" w:color="auto"/>
            </w:tcBorders>
            <w:shd w:val="clear" w:color="auto" w:fill="CCEEFF"/>
          </w:tcPr>
          <w:p>
            <w:pPr>
              <w:spacing w:after="0"/>
              <w:rPr>
                <w:sz w:val="21"/>
                <w:szCs w:val="21"/>
                <w:color w:val="auto"/>
              </w:rPr>
            </w:pPr>
          </w:p>
        </w:tc>
        <w:tc>
          <w:tcPr>
            <w:tcW w:w="25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$143,536.49</w:t>
            </w:r>
          </w:p>
        </w:tc>
      </w:tr>
      <w:tr>
        <w:trPr>
          <w:trHeight w:val="20"/>
        </w:trPr>
        <w:tc>
          <w:tcPr>
            <w:tcW w:w="33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2580" w:type="dxa"/>
            <w:vAlign w:val="bottom"/>
            <w:tcBorders>
              <w:right w:val="single" w:sz="8" w:color="auto"/>
            </w:tcBorders>
            <w:shd w:val="clear" w:color="auto" w:fill="000000"/>
          </w:tcPr>
          <w:p>
            <w:pPr>
              <w:spacing w:after="0" w:line="20" w:lineRule="exact"/>
              <w:rPr>
                <w:sz w:val="1"/>
                <w:szCs w:val="1"/>
                <w:color w:val="auto"/>
              </w:rPr>
            </w:pPr>
          </w:p>
        </w:tc>
        <w:tc>
          <w:tcPr>
            <w:tcW w:w="2580" w:type="dxa"/>
            <w:vAlign w:val="bottom"/>
            <w:tcBorders>
              <w:right w:val="single" w:sz="8" w:color="auto"/>
            </w:tcBorders>
            <w:shd w:val="clear" w:color="auto" w:fill="000000"/>
          </w:tcPr>
          <w:p>
            <w:pPr>
              <w:spacing w:after="0" w:line="20" w:lineRule="exact"/>
              <w:rPr>
                <w:sz w:val="1"/>
                <w:szCs w:val="1"/>
                <w:color w:val="auto"/>
              </w:rPr>
            </w:pPr>
          </w:p>
        </w:tc>
        <w:tc>
          <w:tcPr>
            <w:tcW w:w="2580" w:type="dxa"/>
            <w:vAlign w:val="bottom"/>
            <w:tcBorders>
              <w:right w:val="single" w:sz="8" w:color="auto"/>
            </w:tcBorders>
            <w:shd w:val="clear" w:color="auto" w:fill="000000"/>
          </w:tcPr>
          <w:p>
            <w:pPr>
              <w:spacing w:after="0" w:line="20" w:lineRule="exact"/>
              <w:rPr>
                <w:sz w:val="1"/>
                <w:szCs w:val="1"/>
                <w:color w:val="auto"/>
              </w:rPr>
            </w:pPr>
          </w:p>
        </w:tc>
      </w:tr>
    </w:tbl>
    <w:p>
      <w:pPr>
        <w:spacing w:after="0"/>
        <w:rPr>
          <w:sz w:val="20"/>
          <w:szCs w:val="20"/>
          <w:color w:val="auto"/>
        </w:rPr>
      </w:pPr>
      <w:r>
        <w:rPr>
          <w:rFonts w:ascii="Times New Roman" w:cs="Times New Roman" w:eastAsia="Times New Roman" w:hAnsi="Times New Roman"/>
          <w:sz w:val="18"/>
          <w:szCs w:val="18"/>
          <w:b w:val="1"/>
          <w:bCs w:val="1"/>
          <w:color w:val="auto"/>
        </w:rPr>
        <w:t>Offering Note</w:t>
      </w:r>
    </w:p>
    <w:p>
      <w:pPr>
        <w:spacing w:after="0" w:line="18" w:lineRule="exact"/>
        <w:rPr>
          <w:sz w:val="20"/>
          <w:szCs w:val="20"/>
          <w:color w:val="auto"/>
        </w:rPr>
      </w:pPr>
    </w:p>
    <w:p>
      <w:pPr>
        <w:ind w:left="220" w:right="140" w:hanging="212"/>
        <w:spacing w:after="0" w:line="254" w:lineRule="auto"/>
        <w:tabs>
          <w:tab w:leader="none" w:pos="22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for purposes of calculating the filing fee only. The transaction valuation was calculated as the sum of (i) 39,957,678 outstanding shares of common stock, par value $0.001 per share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of Pacira BioSciences, Inc. (“</w:t>
      </w:r>
      <w:r>
        <w:rPr>
          <w:rFonts w:ascii="Times New Roman" w:cs="Times New Roman" w:eastAsia="Times New Roman" w:hAnsi="Times New Roman"/>
          <w:sz w:val="18"/>
          <w:szCs w:val="18"/>
          <w:u w:val="single" w:color="auto"/>
          <w:color w:val="auto"/>
        </w:rPr>
        <w:t>Pacira</w:t>
      </w:r>
      <w:r>
        <w:rPr>
          <w:rFonts w:ascii="Times New Roman" w:cs="Times New Roman" w:eastAsia="Times New Roman" w:hAnsi="Times New Roman"/>
          <w:sz w:val="18"/>
          <w:szCs w:val="18"/>
          <w:color w:val="auto"/>
        </w:rPr>
        <w:t>”) multiplied by $36.50 per Share (the “</w:t>
      </w:r>
      <w:r>
        <w:rPr>
          <w:rFonts w:ascii="Times New Roman" w:cs="Times New Roman" w:eastAsia="Times New Roman" w:hAnsi="Times New Roman"/>
          <w:sz w:val="18"/>
          <w:szCs w:val="18"/>
          <w:u w:val="single" w:color="auto"/>
          <w:color w:val="auto"/>
        </w:rPr>
        <w:t>Offer Price</w:t>
      </w:r>
      <w:r>
        <w:rPr>
          <w:rFonts w:ascii="Times New Roman" w:cs="Times New Roman" w:eastAsia="Times New Roman" w:hAnsi="Times New Roman"/>
          <w:sz w:val="18"/>
          <w:szCs w:val="18"/>
          <w:color w:val="auto"/>
        </w:rPr>
        <w:t>”), (ii) 2,204,571 Shares subject to issuance pursuant to “in-the-money” stock options to purchase Shares multiplied by $9.04 (which is the Offer Price minus the weighted average exercise price for such options of $27.46 per Share), (iii) 198,257 Shares subject to issuance pursuant to granted and outstanding performance share units in respect of Shares (assuming target level of performance) multiplied by the Offer Price, (iv) 4,463,236 Shares subject to issuance pursuant to granted and outstanding restricted stock units in respect of Shares multiplied by the Offer Price and (v) 36,046 Shares subject to issuance pursuant to outstanding purchase rights under Pacira’s Amended and Restated 2014 Employee Stock Purchase Plan (based on accumulated contributions through October 23, 2026) multiplied by the Offer Price. The calculation of the filing fee is based on information provided by Pacira as of October 23, 2026.</w:t>
      </w:r>
    </w:p>
    <w:p>
      <w:pPr>
        <w:spacing w:after="0" w:line="188" w:lineRule="exact"/>
        <w:rPr>
          <w:rFonts w:ascii="Times New Roman" w:cs="Times New Roman" w:eastAsia="Times New Roman" w:hAnsi="Times New Roman"/>
          <w:sz w:val="18"/>
          <w:szCs w:val="18"/>
          <w:color w:val="auto"/>
        </w:rPr>
      </w:pPr>
    </w:p>
    <w:p>
      <w:pPr>
        <w:ind w:left="220" w:right="2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fee was calculated in accordance with Rule 0-11 under the Securities Exchange Act of 1934, as amended, and Fee Rate Advisory for Fiscal Year 2027, effective on October 1, 2026, by multiplying the transaction valuation by 0.000087.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60"/>
      </w:cols>
      <w:pgMar w:left="320" w:top="306"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C6C33A"/>
    <w:multiLevelType w:val="hybridMultilevel"/>
    <w:lvl w:ilvl="0">
      <w:lvlJc w:val="left"/>
      <w:lvlText w:val="☐"/>
      <w:numFmt w:val="bullet"/>
      <w:start w:val="1"/>
    </w:lvl>
    <w:lvl w:ilvl="1">
      <w:lvlJc w:val="left"/>
      <w:lvlText w:val="(%2)"/>
      <w:numFmt w:val="decimal"/>
      <w:start w:val="212"/>
    </w:lvl>
  </w:abstractNum>
  <w:abstractNum w:abstractNumId="1">
    <w:nsid w:val="12E685FB"/>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
    <w:nsid w:val="70C6A529"/>
    <w:multiLevelType w:val="hybridMultilevel"/>
    <w:lvl w:ilvl="0">
      <w:lvlJc w:val="left"/>
      <w:lvlText w:val="☐"/>
      <w:numFmt w:val="bullet"/>
      <w:start w:val="1"/>
    </w:lvl>
  </w:abstractNum>
  <w:abstractNum w:abstractNumId="3">
    <w:nsid w:val="520EEDD1"/>
    <w:multiLevelType w:val="hybridMultilevel"/>
    <w:lvl w:ilvl="0">
      <w:lvlJc w:val="left"/>
      <w:lvlText w:val="(%1)"/>
      <w:numFmt w:val="lowerLetter"/>
      <w:start w:val="1"/>
    </w:lvl>
  </w:abstractNum>
  <w:abstractNum w:abstractNumId="4">
    <w:nsid w:val="374A3FE6"/>
    <w:multiLevelType w:val="hybridMultilevel"/>
    <w:lvl w:ilvl="0">
      <w:lvlJc w:val="left"/>
      <w:lvlText w:val="(%1)"/>
      <w:numFmt w:val="lowerLetter"/>
      <w:start w:val="1"/>
    </w:lvl>
  </w:abstractNum>
  <w:abstractNum w:abstractNumId="5">
    <w:nsid w:val="4F4EF005"/>
    <w:multiLevelType w:val="hybridMultilevel"/>
    <w:lvl w:ilvl="0">
      <w:lvlJc w:val="left"/>
      <w:lvlText w:val="(%1)"/>
      <w:numFmt w:val="lowerLetter"/>
      <w:start w:val="1"/>
    </w:lvl>
  </w:abstractNum>
  <w:abstractNum w:abstractNumId="6">
    <w:nsid w:val="23F9C13C"/>
    <w:multiLevelType w:val="hybridMultilevel"/>
    <w:lvl w:ilvl="0">
      <w:lvlJc w:val="left"/>
      <w:lvlText w:val="(%1)"/>
      <w:numFmt w:val="lowerLetter"/>
      <w:start w:val="1"/>
    </w:lvl>
  </w:abstractNum>
  <w:abstractNum w:abstractNumId="7">
    <w:nsid w:val="649BB77C"/>
    <w:multiLevelType w:val="hybridMultilevel"/>
    <w:lvl w:ilvl="0">
      <w:lvlJc w:val="left"/>
      <w:lvlText w:val="(%1)"/>
      <w:numFmt w:val="lowerLetter"/>
      <w:start w:val="3"/>
    </w:lvl>
  </w:abstractNum>
  <w:abstractNum w:abstractNumId="8">
    <w:nsid w:val="275AC794"/>
    <w:multiLevelType w:val="hybridMultilevel"/>
    <w:lvl w:ilvl="0">
      <w:lvlJc w:val="left"/>
      <w:lvlText w:val="(%1)"/>
      <w:numFmt w:val="lowerLetter"/>
      <w:start w:val="1"/>
    </w:lvl>
  </w:abstractNum>
  <w:abstractNum w:abstractNumId="9">
    <w:nsid w:val="39386575"/>
    <w:multiLevelType w:val="hybridMultilevel"/>
    <w:lvl w:ilvl="0">
      <w:lvlJc w:val="left"/>
      <w:lvlText w:val="(%1)"/>
      <w:numFmt w:val="lowerLetter"/>
      <w:start w:val="1"/>
    </w:lvl>
  </w:abstractNum>
  <w:abstractNum w:abstractNumId="10">
    <w:nsid w:val="1CF10FD8"/>
    <w:multiLevelType w:val="hybridMultilevel"/>
    <w:lvl w:ilvl="0">
      <w:lvlJc w:val="left"/>
      <w:lvlText w:val="(%1)"/>
      <w:numFmt w:val="lowerLetter"/>
      <w:start w:val="1"/>
    </w:lvl>
  </w:abstractNum>
  <w:abstractNum w:abstractNumId="11">
    <w:nsid w:val="180115BE"/>
    <w:multiLevelType w:val="hybridMultilevel"/>
    <w:lvl w:ilvl="0">
      <w:lvlJc w:val="left"/>
      <w:lvlText w:val="(%1)"/>
      <w:numFmt w:val="lowerLetter"/>
      <w:start w:val="3"/>
    </w:lvl>
  </w:abstractNum>
  <w:abstractNum w:abstractNumId="12">
    <w:nsid w:val="235BA861"/>
    <w:multiLevelType w:val="hybridMultilevel"/>
    <w:lvl w:ilvl="0">
      <w:lvlJc w:val="left"/>
      <w:lvlText w:val="(%1)"/>
      <w:numFmt w:val="lowerLetter"/>
      <w:start w:val="7"/>
    </w:lvl>
  </w:abstractNum>
  <w:abstractNum w:abstractNumId="13">
    <w:nsid w:val="47398C89"/>
    <w:multiLevelType w:val="hybridMultilevel"/>
    <w:lvl w:ilvl="0">
      <w:lvlJc w:val="left"/>
      <w:lvlText w:val="%1"/>
      <w:numFmt w:val="decimal"/>
      <w:start w:val="107"/>
    </w:lvl>
  </w:abstractNum>
  <w:abstractNum w:abstractNumId="14">
    <w:nsid w:val="354FE9F9"/>
    <w:multiLevelType w:val="hybridMultilevel"/>
    <w:lvl w:ilvl="0">
      <w:lvlJc w:val="left"/>
      <w:lvlText w:val="*"/>
      <w:numFmt w:val="bullet"/>
      <w:start w:val="1"/>
    </w:lvl>
  </w:abstractNum>
  <w:abstractNum w:abstractNumId="15">
    <w:nsid w:val="15B5AF5C"/>
    <w:multiLevelType w:val="hybridMultilevel"/>
    <w:lvl w:ilvl="0">
      <w:lvlJc w:val="left"/>
      <w:lvlText w:val="(%1)"/>
      <w:numFmt w:val="upperLetter"/>
      <w:start w:val="4"/>
    </w:lvl>
  </w:abstractNum>
  <w:abstractNum w:abstractNumId="16">
    <w:nsid w:val="741226BB"/>
    <w:multiLevelType w:val="hybridMultilevel"/>
    <w:lvl w:ilvl="0">
      <w:lvlJc w:val="left"/>
      <w:lvlText w:val="(%1)"/>
      <w:numFmt w:val="lowerRoman"/>
      <w:start w:val="3"/>
    </w:lvl>
  </w:abstractNum>
  <w:abstractNum w:abstractNumId="17">
    <w:nsid w:val="D34B6A8"/>
    <w:multiLevelType w:val="hybridMultilevel"/>
    <w:lvl w:ilvl="0">
      <w:lvlJc w:val="left"/>
      <w:lvlText w:val="(%1)"/>
      <w:numFmt w:val="lowerLetter"/>
      <w:start w:val="1"/>
    </w:lvl>
  </w:abstractNum>
  <w:abstractNum w:abstractNumId="18">
    <w:nsid w:val="10233C99"/>
    <w:multiLevelType w:val="hybridMultilevel"/>
    <w:lvl w:ilvl="0">
      <w:lvlJc w:val="left"/>
      <w:lvlText w:val="(%1)"/>
      <w:numFmt w:val="decimal"/>
      <w:start w:val="866"/>
    </w:lvl>
  </w:abstractNum>
  <w:abstractNum w:abstractNumId="19">
    <w:nsid w:val="3F6AB60F"/>
    <w:multiLevelType w:val="hybridMultilevel"/>
    <w:lvl w:ilvl="0">
      <w:lvlJc w:val="left"/>
      <w:lvlText w:val="•"/>
      <w:numFmt w:val="bullet"/>
      <w:start w:val="1"/>
    </w:lvl>
  </w:abstractNum>
  <w:abstractNum w:abstractNumId="20">
    <w:nsid w:val="61574095"/>
    <w:multiLevelType w:val="hybridMultilevel"/>
    <w:lvl w:ilvl="0">
      <w:lvlJc w:val="left"/>
      <w:lvlText w:val="•"/>
      <w:numFmt w:val="bullet"/>
      <w:start w:val="1"/>
    </w:lvl>
  </w:abstractNum>
  <w:abstractNum w:abstractNumId="21">
    <w:nsid w:val="7E0C57B1"/>
    <w:multiLevelType w:val="hybridMultilevel"/>
    <w:lvl w:ilvl="0">
      <w:lvlJc w:val="left"/>
      <w:lvlText w:val="•"/>
      <w:numFmt w:val="bullet"/>
      <w:start w:val="1"/>
    </w:lvl>
  </w:abstractNum>
  <w:abstractNum w:abstractNumId="22">
    <w:nsid w:val="77AE35EB"/>
    <w:multiLevelType w:val="hybridMultilevel"/>
    <w:lvl w:ilvl="0">
      <w:lvlJc w:val="left"/>
      <w:lvlText w:val="•"/>
      <w:numFmt w:val="bullet"/>
      <w:start w:val="1"/>
    </w:lvl>
  </w:abstractNum>
  <w:abstractNum w:abstractNumId="23">
    <w:nsid w:val="579BE4F1"/>
    <w:multiLevelType w:val="hybridMultilevel"/>
    <w:lvl w:ilvl="0">
      <w:lvlJc w:val="left"/>
      <w:lvlText w:val="(%1)"/>
      <w:numFmt w:val="lowerRoman"/>
      <w:start w:val="3"/>
    </w:lvl>
  </w:abstractNum>
  <w:abstractNum w:abstractNumId="24">
    <w:nsid w:val="310C50B3"/>
    <w:multiLevelType w:val="hybridMultilevel"/>
    <w:lvl w:ilvl="0">
      <w:lvlJc w:val="left"/>
      <w:lvlText w:val="%1."/>
      <w:numFmt w:val="decimal"/>
      <w:start w:val="1"/>
    </w:lvl>
  </w:abstractNum>
  <w:abstractNum w:abstractNumId="25">
    <w:nsid w:val="5FF87E05"/>
    <w:multiLevelType w:val="hybridMultilevel"/>
    <w:lvl w:ilvl="0">
      <w:lvlJc w:val="left"/>
      <w:lvlText w:val="%1."/>
      <w:numFmt w:val="decimal"/>
      <w:start w:val="2"/>
    </w:lvl>
  </w:abstractNum>
  <w:abstractNum w:abstractNumId="26">
    <w:nsid w:val="2F305DEF"/>
    <w:multiLevelType w:val="hybridMultilevel"/>
    <w:lvl w:ilvl="0">
      <w:lvlJc w:val="left"/>
      <w:lvlText w:val="%1."/>
      <w:numFmt w:val="decimal"/>
      <w:start w:val="3"/>
    </w:lvl>
  </w:abstractNum>
  <w:abstractNum w:abstractNumId="27">
    <w:nsid w:val="25A70BF7"/>
    <w:multiLevelType w:val="hybridMultilevel"/>
    <w:lvl w:ilvl="0">
      <w:lvlJc w:val="left"/>
      <w:lvlText w:val="•"/>
      <w:numFmt w:val="bullet"/>
      <w:start w:val="1"/>
    </w:lvl>
  </w:abstractNum>
  <w:abstractNum w:abstractNumId="28">
    <w:nsid w:val="1DBABF00"/>
    <w:multiLevelType w:val="hybridMultilevel"/>
    <w:lvl w:ilvl="0">
      <w:lvlJc w:val="left"/>
      <w:lvlText w:val="•"/>
      <w:numFmt w:val="bullet"/>
      <w:start w:val="1"/>
    </w:lvl>
  </w:abstractNum>
  <w:abstractNum w:abstractNumId="29">
    <w:nsid w:val="4AD084E9"/>
    <w:multiLevelType w:val="hybridMultilevel"/>
    <w:lvl w:ilvl="0">
      <w:lvlJc w:val="left"/>
      <w:lvlText w:val="•"/>
      <w:numFmt w:val="bullet"/>
      <w:start w:val="1"/>
    </w:lvl>
  </w:abstractNum>
  <w:abstractNum w:abstractNumId="30">
    <w:nsid w:val="1F48EAA1"/>
    <w:multiLevelType w:val="hybridMultilevel"/>
    <w:lvl w:ilvl="0">
      <w:lvlJc w:val="left"/>
      <w:lvlText w:val="•"/>
      <w:numFmt w:val="bullet"/>
      <w:start w:val="1"/>
    </w:lvl>
    <w:lvl w:ilvl="1">
      <w:lvlJc w:val="left"/>
      <w:lvlText w:val="(%2)"/>
      <w:numFmt w:val="upperLetter"/>
      <w:start w:val="1"/>
    </w:lvl>
  </w:abstractNum>
  <w:abstractNum w:abstractNumId="31">
    <w:nsid w:val="1381823A"/>
    <w:multiLevelType w:val="hybridMultilevel"/>
    <w:lvl w:ilvl="0">
      <w:lvlJc w:val="left"/>
      <w:lvlText w:val="•"/>
      <w:numFmt w:val="bullet"/>
      <w:start w:val="1"/>
    </w:lvl>
  </w:abstractNum>
  <w:abstractNum w:abstractNumId="32">
    <w:nsid w:val="5DB70AE5"/>
    <w:multiLevelType w:val="hybridMultilevel"/>
    <w:lvl w:ilvl="0">
      <w:lvlJc w:val="left"/>
      <w:lvlText w:val="•"/>
      <w:numFmt w:val="bullet"/>
      <w:start w:val="1"/>
    </w:lvl>
  </w:abstractNum>
  <w:abstractNum w:abstractNumId="33">
    <w:nsid w:val="100F8FCA"/>
    <w:multiLevelType w:val="hybridMultilevel"/>
    <w:lvl w:ilvl="0">
      <w:lvlJc w:val="left"/>
      <w:lvlText w:val="%1."/>
      <w:numFmt w:val="decimal"/>
      <w:start w:val="4"/>
    </w:lvl>
  </w:abstractNum>
  <w:abstractNum w:abstractNumId="34">
    <w:nsid w:val="6590700B"/>
    <w:multiLevelType w:val="hybridMultilevel"/>
    <w:lvl w:ilvl="0">
      <w:lvlJc w:val="left"/>
      <w:lvlText w:val="%1."/>
      <w:numFmt w:val="decimal"/>
      <w:start w:val="5"/>
    </w:lvl>
  </w:abstractNum>
  <w:abstractNum w:abstractNumId="35">
    <w:nsid w:val="15014ACB"/>
    <w:multiLevelType w:val="hybridMultilevel"/>
    <w:lvl w:ilvl="0">
      <w:lvlJc w:val="left"/>
      <w:lvlText w:val="•"/>
      <w:numFmt w:val="bullet"/>
      <w:start w:val="1"/>
    </w:lvl>
  </w:abstractNum>
  <w:abstractNum w:abstractNumId="36">
    <w:nsid w:val="5F5E7FD0"/>
    <w:multiLevelType w:val="hybridMultilevel"/>
    <w:lvl w:ilvl="0">
      <w:lvlJc w:val="left"/>
      <w:lvlText w:val="%1."/>
      <w:numFmt w:val="decimal"/>
      <w:start w:val="6"/>
    </w:lvl>
  </w:abstractNum>
  <w:abstractNum w:abstractNumId="37">
    <w:nsid w:val="98A3148"/>
    <w:multiLevelType w:val="hybridMultilevel"/>
    <w:lvl w:ilvl="0">
      <w:lvlJc w:val="left"/>
      <w:lvlText w:val="%1."/>
      <w:numFmt w:val="decimal"/>
      <w:start w:val="7"/>
    </w:lvl>
  </w:abstractNum>
  <w:abstractNum w:abstractNumId="38">
    <w:nsid w:val="799D0247"/>
    <w:multiLevelType w:val="hybridMultilevel"/>
    <w:lvl w:ilvl="0">
      <w:lvlJc w:val="left"/>
      <w:lvlText w:val="%1."/>
      <w:numFmt w:val="decimal"/>
      <w:start w:val="8"/>
    </w:lvl>
  </w:abstractNum>
  <w:abstractNum w:abstractNumId="39">
    <w:nsid w:val="6B94764"/>
    <w:multiLevelType w:val="hybridMultilevel"/>
    <w:lvl w:ilvl="0">
      <w:lvlJc w:val="left"/>
      <w:lvlText w:val="%1."/>
      <w:numFmt w:val="decimal"/>
      <w:start w:val="9"/>
    </w:lvl>
  </w:abstractNum>
  <w:abstractNum w:abstractNumId="40">
    <w:nsid w:val="42C296BD"/>
    <w:multiLevelType w:val="hybridMultilevel"/>
    <w:lvl w:ilvl="0">
      <w:lvlJc w:val="left"/>
      <w:lvlText w:val="•"/>
      <w:numFmt w:val="bullet"/>
      <w:start w:val="1"/>
    </w:lvl>
  </w:abstractNum>
  <w:abstractNum w:abstractNumId="41">
    <w:nsid w:val="168E121F"/>
    <w:multiLevelType w:val="hybridMultilevel"/>
    <w:lvl w:ilvl="0">
      <w:lvlJc w:val="left"/>
      <w:lvlText w:val="•"/>
      <w:numFmt w:val="bullet"/>
      <w:start w:val="1"/>
    </w:lvl>
  </w:abstractNum>
  <w:abstractNum w:abstractNumId="42">
    <w:nsid w:val="1EBA5D23"/>
    <w:multiLevelType w:val="hybridMultilevel"/>
    <w:lvl w:ilvl="0">
      <w:lvlJc w:val="left"/>
      <w:lvlText w:val="•"/>
      <w:numFmt w:val="bullet"/>
      <w:start w:val="1"/>
    </w:lvl>
  </w:abstractNum>
  <w:abstractNum w:abstractNumId="43">
    <w:nsid w:val="661E3F1E"/>
    <w:multiLevelType w:val="hybridMultilevel"/>
    <w:lvl w:ilvl="0">
      <w:lvlJc w:val="left"/>
      <w:lvlText w:val="•"/>
      <w:numFmt w:val="bullet"/>
      <w:start w:val="1"/>
    </w:lvl>
  </w:abstractNum>
  <w:abstractNum w:abstractNumId="44">
    <w:nsid w:val="5DC79EA8"/>
    <w:multiLevelType w:val="hybridMultilevel"/>
    <w:lvl w:ilvl="0">
      <w:lvlJc w:val="left"/>
      <w:lvlText w:val="•"/>
      <w:numFmt w:val="bullet"/>
      <w:start w:val="1"/>
    </w:lvl>
  </w:abstractNum>
  <w:abstractNum w:abstractNumId="45">
    <w:nsid w:val="540A471C"/>
    <w:multiLevelType w:val="hybridMultilevel"/>
    <w:lvl w:ilvl="0">
      <w:lvlJc w:val="left"/>
      <w:lvlText w:val="•"/>
      <w:numFmt w:val="bullet"/>
      <w:start w:val="1"/>
    </w:lvl>
  </w:abstractNum>
  <w:abstractNum w:abstractNumId="46">
    <w:nsid w:val="7BD3EE7B"/>
    <w:multiLevelType w:val="hybridMultilevel"/>
    <w:lvl w:ilvl="0">
      <w:lvlJc w:val="left"/>
      <w:lvlText w:val="•"/>
      <w:numFmt w:val="bullet"/>
      <w:start w:val="1"/>
    </w:lvl>
  </w:abstractNum>
  <w:abstractNum w:abstractNumId="47">
    <w:nsid w:val="51D9C564"/>
    <w:multiLevelType w:val="hybridMultilevel"/>
    <w:lvl w:ilvl="0">
      <w:lvlJc w:val="left"/>
      <w:lvlText w:val="(%1)"/>
      <w:numFmt w:val="lowerRoman"/>
      <w:start w:val="2"/>
    </w:lvl>
    <w:lvl w:ilvl="1">
      <w:lvlJc w:val="left"/>
      <w:lvlText w:val="•"/>
      <w:numFmt w:val="bullet"/>
      <w:start w:val="1"/>
    </w:lvl>
  </w:abstractNum>
  <w:abstractNum w:abstractNumId="48">
    <w:nsid w:val="613EFDC5"/>
    <w:multiLevelType w:val="hybridMultilevel"/>
    <w:lvl w:ilvl="0">
      <w:lvlJc w:val="left"/>
      <w:lvlText w:val="•"/>
      <w:numFmt w:val="bullet"/>
      <w:start w:val="1"/>
    </w:lvl>
  </w:abstractNum>
  <w:abstractNum w:abstractNumId="49">
    <w:nsid w:val="BF72B14"/>
    <w:multiLevelType w:val="hybridMultilevel"/>
    <w:lvl w:ilvl="0">
      <w:lvlJc w:val="left"/>
      <w:lvlText w:val="•"/>
      <w:numFmt w:val="bullet"/>
      <w:start w:val="1"/>
    </w:lvl>
  </w:abstractNum>
  <w:abstractNum w:abstractNumId="50">
    <w:nsid w:val="11447B73"/>
    <w:multiLevelType w:val="hybridMultilevel"/>
    <w:lvl w:ilvl="0">
      <w:lvlJc w:val="left"/>
      <w:lvlText w:val="•"/>
      <w:numFmt w:val="bullet"/>
      <w:start w:val="1"/>
    </w:lvl>
  </w:abstractNum>
  <w:abstractNum w:abstractNumId="51">
    <w:nsid w:val="42963E5A"/>
    <w:multiLevelType w:val="hybridMultilevel"/>
    <w:lvl w:ilvl="0">
      <w:lvlJc w:val="left"/>
      <w:lvlText w:val="•"/>
      <w:numFmt w:val="bullet"/>
      <w:start w:val="1"/>
    </w:lvl>
  </w:abstractNum>
  <w:abstractNum w:abstractNumId="52">
    <w:nsid w:val="A0382C5"/>
    <w:multiLevelType w:val="hybridMultilevel"/>
    <w:lvl w:ilvl="0">
      <w:lvlJc w:val="left"/>
      <w:lvlText w:val="•"/>
      <w:numFmt w:val="bullet"/>
      <w:start w:val="1"/>
    </w:lvl>
    <w:lvl w:ilvl="1">
      <w:lvlJc w:val="left"/>
      <w:lvlText w:val="(%2)"/>
      <w:numFmt w:val="upperLetter"/>
      <w:start w:val="2"/>
    </w:lvl>
  </w:abstractNum>
  <w:abstractNum w:abstractNumId="53">
    <w:nsid w:val="8F2B15E"/>
    <w:multiLevelType w:val="hybridMultilevel"/>
    <w:lvl w:ilvl="0">
      <w:lvlJc w:val="left"/>
      <w:lvlText w:val="•"/>
      <w:numFmt w:val="bullet"/>
      <w:start w:val="1"/>
    </w:lvl>
  </w:abstractNum>
  <w:abstractNum w:abstractNumId="54">
    <w:nsid w:val="1A32234B"/>
    <w:multiLevelType w:val="hybridMultilevel"/>
    <w:lvl w:ilvl="0">
      <w:lvlJc w:val="left"/>
      <w:lvlText w:val="•"/>
      <w:numFmt w:val="bullet"/>
      <w:start w:val="1"/>
    </w:lvl>
  </w:abstractNum>
  <w:abstractNum w:abstractNumId="55">
    <w:nsid w:val="3B0FD379"/>
    <w:multiLevelType w:val="hybridMultilevel"/>
    <w:lvl w:ilvl="0">
      <w:lvlJc w:val="left"/>
      <w:lvlText w:val="•"/>
      <w:numFmt w:val="bullet"/>
      <w:start w:val="1"/>
    </w:lvl>
  </w:abstractNum>
  <w:abstractNum w:abstractNumId="56">
    <w:nsid w:val="68EB2F63"/>
    <w:multiLevelType w:val="hybridMultilevel"/>
    <w:lvl w:ilvl="0">
      <w:lvlJc w:val="left"/>
      <w:lvlText w:val="•"/>
      <w:numFmt w:val="bullet"/>
      <w:start w:val="1"/>
    </w:lvl>
  </w:abstractNum>
  <w:abstractNum w:abstractNumId="57">
    <w:nsid w:val="4962813B"/>
    <w:multiLevelType w:val="hybridMultilevel"/>
    <w:lvl w:ilvl="0">
      <w:lvlJc w:val="left"/>
      <w:lvlText w:val="•"/>
      <w:numFmt w:val="bullet"/>
      <w:start w:val="1"/>
    </w:lvl>
  </w:abstractNum>
  <w:abstractNum w:abstractNumId="58">
    <w:nsid w:val="60B6DF70"/>
    <w:multiLevelType w:val="hybridMultilevel"/>
    <w:lvl w:ilvl="0">
      <w:lvlJc w:val="left"/>
      <w:lvlText w:val="•"/>
      <w:numFmt w:val="bullet"/>
      <w:start w:val="1"/>
    </w:lvl>
  </w:abstractNum>
  <w:abstractNum w:abstractNumId="59">
    <w:nsid w:val="6A5EE64"/>
    <w:multiLevelType w:val="hybridMultilevel"/>
    <w:lvl w:ilvl="0">
      <w:lvlJc w:val="left"/>
      <w:lvlText w:val="•"/>
      <w:numFmt w:val="bullet"/>
      <w:start w:val="1"/>
    </w:lvl>
  </w:abstractNum>
  <w:abstractNum w:abstractNumId="60">
    <w:nsid w:val="14330624"/>
    <w:multiLevelType w:val="hybridMultilevel"/>
    <w:lvl w:ilvl="0">
      <w:lvlJc w:val="left"/>
      <w:lvlText w:val="•"/>
      <w:numFmt w:val="bullet"/>
      <w:start w:val="1"/>
    </w:lvl>
  </w:abstractNum>
  <w:abstractNum w:abstractNumId="61">
    <w:nsid w:val="7FFFCA11"/>
    <w:multiLevelType w:val="hybridMultilevel"/>
    <w:lvl w:ilvl="0">
      <w:lvlJc w:val="left"/>
      <w:lvlText w:val="(%1)"/>
      <w:numFmt w:val="lowerRoman"/>
      <w:start w:val="1"/>
    </w:lvl>
    <w:lvl w:ilvl="1">
      <w:lvlJc w:val="left"/>
      <w:lvlText w:val="•"/>
      <w:numFmt w:val="bullet"/>
      <w:start w:val="1"/>
    </w:lvl>
  </w:abstractNum>
  <w:abstractNum w:abstractNumId="62">
    <w:nsid w:val="1A27709E"/>
    <w:multiLevelType w:val="hybridMultilevel"/>
    <w:lvl w:ilvl="0">
      <w:lvlJc w:val="left"/>
      <w:lvlText w:val="(%1)"/>
      <w:numFmt w:val="lowerRoman"/>
      <w:start w:val="3"/>
    </w:lvl>
  </w:abstractNum>
  <w:abstractNum w:abstractNumId="63">
    <w:nsid w:val="71EA1109"/>
    <w:multiLevelType w:val="hybridMultilevel"/>
    <w:lvl w:ilvl="0">
      <w:lvlJc w:val="left"/>
      <w:lvlText w:val="(%1)"/>
      <w:numFmt w:val="lowerRoman"/>
      <w:start w:val="3"/>
    </w:lvl>
  </w:abstractNum>
  <w:abstractNum w:abstractNumId="64">
    <w:nsid w:val="100F59DC"/>
    <w:multiLevelType w:val="hybridMultilevel"/>
    <w:lvl w:ilvl="0">
      <w:lvlJc w:val="left"/>
      <w:lvlText w:val="(%1)"/>
      <w:numFmt w:val="lowerLetter"/>
      <w:start w:val="2"/>
    </w:lvl>
  </w:abstractNum>
  <w:abstractNum w:abstractNumId="65">
    <w:nsid w:val="7FB7E0AA"/>
    <w:multiLevelType w:val="hybridMultilevel"/>
    <w:lvl w:ilvl="0">
      <w:lvlJc w:val="left"/>
      <w:lvlText w:val="(%1)"/>
      <w:numFmt w:val="lowerRoman"/>
      <w:start w:val="2"/>
    </w:lvl>
  </w:abstractNum>
  <w:abstractNum w:abstractNumId="66">
    <w:nsid w:val="6EB5BD4"/>
    <w:multiLevelType w:val="hybridMultilevel"/>
    <w:lvl w:ilvl="0">
      <w:lvlJc w:val="left"/>
      <w:lvlText w:val="(%1)"/>
      <w:numFmt w:val="upperLetter"/>
      <w:start w:val="2"/>
    </w:lvl>
  </w:abstractNum>
  <w:abstractNum w:abstractNumId="67">
    <w:nsid w:val="6F6DD9AC"/>
    <w:multiLevelType w:val="hybridMultilevel"/>
    <w:lvl w:ilvl="0">
      <w:lvlJc w:val="left"/>
      <w:lvlText w:val="•"/>
      <w:numFmt w:val="bullet"/>
      <w:start w:val="1"/>
    </w:lvl>
  </w:abstractNum>
  <w:abstractNum w:abstractNumId="68">
    <w:nsid w:val="94211F2"/>
    <w:multiLevelType w:val="hybridMultilevel"/>
    <w:lvl w:ilvl="0">
      <w:lvlJc w:val="left"/>
      <w:lvlText w:val="•"/>
      <w:numFmt w:val="bullet"/>
      <w:start w:val="1"/>
    </w:lvl>
  </w:abstractNum>
  <w:abstractNum w:abstractNumId="69">
    <w:nsid w:val="885E1B"/>
    <w:multiLevelType w:val="hybridMultilevel"/>
    <w:lvl w:ilvl="0">
      <w:lvlJc w:val="left"/>
      <w:lvlText w:val="•"/>
      <w:numFmt w:val="bullet"/>
      <w:start w:val="1"/>
    </w:lvl>
  </w:abstractNum>
  <w:abstractNum w:abstractNumId="70">
    <w:nsid w:val="76272110"/>
    <w:multiLevelType w:val="hybridMultilevel"/>
    <w:lvl w:ilvl="0">
      <w:lvlJc w:val="left"/>
      <w:lvlText w:val="(%1)"/>
      <w:numFmt w:val="lowerRoman"/>
      <w:start w:val="9"/>
    </w:lvl>
  </w:abstractNum>
  <w:abstractNum w:abstractNumId="71">
    <w:nsid w:val="4C04A8AF"/>
    <w:multiLevelType w:val="hybridMultilevel"/>
    <w:lvl w:ilvl="0">
      <w:lvlJc w:val="left"/>
      <w:lvlText w:val="(%1)"/>
      <w:numFmt w:val="upperLetter"/>
      <w:start w:val="2"/>
    </w:lvl>
    <w:lvl w:ilvl="1">
      <w:lvlJc w:val="left"/>
      <w:lvlText w:val="(%2)"/>
      <w:numFmt w:val="lowerLetter"/>
      <w:start w:val="1"/>
    </w:lvl>
  </w:abstractNum>
  <w:abstractNum w:abstractNumId="72">
    <w:nsid w:val="1716703B"/>
    <w:multiLevelType w:val="hybridMultilevel"/>
    <w:lvl w:ilvl="0">
      <w:lvlJc w:val="left"/>
      <w:lvlText w:val="%1"/>
      <w:numFmt w:val="lowerLetter"/>
      <w:start w:val="1"/>
    </w:lvl>
    <w:lvl w:ilvl="1">
      <w:lvlJc w:val="left"/>
      <w:lvlText w:val="(%2)"/>
      <w:numFmt w:val="lowerRoman"/>
      <w:start w:val="2"/>
    </w:lvl>
  </w:abstractNum>
  <w:abstractNum w:abstractNumId="73">
    <w:nsid w:val="14E17E33"/>
    <w:multiLevelType w:val="hybridMultilevel"/>
    <w:lvl w:ilvl="0">
      <w:lvlJc w:val="left"/>
      <w:lvlText w:val="(%1)"/>
      <w:numFmt w:val="lowerLetter"/>
      <w:start w:val="3"/>
    </w:lvl>
    <w:lvl w:ilvl="1">
      <w:lvlJc w:val="left"/>
      <w:lvlText w:val="%2"/>
      <w:numFmt w:val="lowerRoman"/>
      <w:start w:val="1"/>
    </w:lvl>
  </w:abstractNum>
  <w:abstractNum w:abstractNumId="74">
    <w:nsid w:val="3222E7CD"/>
    <w:multiLevelType w:val="hybridMultilevel"/>
    <w:lvl w:ilvl="0">
      <w:lvlJc w:val="left"/>
      <w:lvlText w:val="(%1)"/>
      <w:numFmt w:val="lowerRoman"/>
      <w:start w:val="4"/>
    </w:lvl>
  </w:abstractNum>
  <w:abstractNum w:abstractNumId="75">
    <w:nsid w:val="74DE0EE3"/>
    <w:multiLevelType w:val="hybridMultilevel"/>
    <w:lvl w:ilvl="0">
      <w:lvlJc w:val="left"/>
      <w:lvlText w:val="•"/>
      <w:numFmt w:val="bullet"/>
      <w:start w:val="1"/>
    </w:lvl>
  </w:abstractNum>
  <w:abstractNum w:abstractNumId="76">
    <w:nsid w:val="68EBC550"/>
    <w:multiLevelType w:val="hybridMultilevel"/>
    <w:lvl w:ilvl="0">
      <w:lvlJc w:val="left"/>
      <w:lvlText w:val="(%1)"/>
      <w:numFmt w:val="decimal"/>
      <w:start w:val="866"/>
    </w:lvl>
  </w:abstractNum>
  <w:abstractNum w:abstractNumId="77">
    <w:nsid w:val="2DF6D648"/>
    <w:multiLevelType w:val="hybridMultilevel"/>
    <w:lvl w:ilvl="0">
      <w:lvlJc w:val="left"/>
      <w:lvlText w:val="*"/>
      <w:numFmt w:val="bullet"/>
      <w:start w:val="1"/>
    </w:lvl>
  </w:abstractNum>
  <w:abstractNum w:abstractNumId="78">
    <w:nsid w:val="46B7D447"/>
    <w:multiLevelType w:val="hybridMultilevel"/>
    <w:lvl w:ilvl="0">
      <w:lvlJc w:val="left"/>
      <w:lvlText w:val="**"/>
      <w:numFmt w:val="bullet"/>
      <w:start w:val="1"/>
    </w:lvl>
  </w:abstractNum>
  <w:abstractNum w:abstractNumId="79">
    <w:nsid w:val="4A2AC315"/>
    <w:multiLevelType w:val="hybridMultilevel"/>
    <w:lvl w:ilvl="0">
      <w:lvlJc w:val="left"/>
      <w:lvlText w:val="☐"/>
      <w:numFmt w:val="bullet"/>
      <w:start w:val="1"/>
    </w:lvl>
  </w:abstractNum>
  <w:abstractNum w:abstractNumId="80">
    <w:nsid w:val="39EE015C"/>
    <w:multiLevelType w:val="hybridMultilevel"/>
    <w:lvl w:ilvl="0">
      <w:lvlJc w:val="left"/>
      <w:lvlText w:val="(%1)"/>
      <w:numFmt w:val="lowerLetter"/>
      <w:start w:val="2"/>
    </w:lvl>
  </w:abstractNum>
  <w:abstractNum w:abstractNumId="81">
    <w:nsid w:val="57FC4FBB"/>
    <w:multiLevelType w:val="hybridMultilevel"/>
    <w:lvl w:ilvl="0">
      <w:lvlJc w:val="left"/>
      <w:lvlText w:val="(%1)"/>
      <w:numFmt w:val="upperLetter"/>
      <w:start w:val="35"/>
    </w:lvl>
  </w:abstractNum>
  <w:abstractNum w:abstractNumId="82">
    <w:nsid w:val="CC1016F"/>
    <w:multiLevelType w:val="hybridMultilevel"/>
    <w:lvl w:ilvl="0">
      <w:lvlJc w:val="left"/>
      <w:lvlText w:val="☐"/>
      <w:numFmt w:val="bullet"/>
      <w:start w:val="1"/>
    </w:lvl>
  </w:abstractNum>
  <w:abstractNum w:abstractNumId="83">
    <w:nsid w:val="43F18422"/>
    <w:multiLevelType w:val="hybridMultilevel"/>
    <w:lvl w:ilvl="0">
      <w:lvlJc w:val="left"/>
      <w:lvlText w:val="(%1)"/>
      <w:numFmt w:val="decimal"/>
      <w:start w:val="866"/>
    </w:lvl>
  </w:abstractNum>
  <w:abstractNum w:abstractNumId="84">
    <w:nsid w:val="60EF0119"/>
    <w:multiLevelType w:val="hybridMultilevel"/>
    <w:lvl w:ilvl="0">
      <w:lvlJc w:val="left"/>
      <w:lvlText w:val="(%1)"/>
      <w:numFmt w:val="lowerLetter"/>
      <w:start w:val="2"/>
    </w:lvl>
  </w:abstractNum>
  <w:abstractNum w:abstractNumId="85">
    <w:nsid w:val="26F324BA"/>
    <w:multiLevelType w:val="hybridMultilevel"/>
    <w:lvl w:ilvl="0">
      <w:lvlJc w:val="left"/>
      <w:lvlText w:val="☐"/>
      <w:numFmt w:val="bullet"/>
      <w:start w:val="1"/>
    </w:lvl>
  </w:abstractNum>
  <w:abstractNum w:abstractNumId="86">
    <w:nsid w:val="7F01579B"/>
    <w:multiLevelType w:val="hybridMultilevel"/>
    <w:lvl w:ilvl="0">
      <w:lvlJc w:val="left"/>
      <w:lvlText w:val="%1."/>
      <w:numFmt w:val="decimal"/>
      <w:start w:val="1"/>
    </w:lvl>
  </w:abstractNum>
  <w:abstractNum w:abstractNumId="87">
    <w:nsid w:val="49DA307D"/>
    <w:multiLevelType w:val="hybridMultilevel"/>
    <w:lvl w:ilvl="0">
      <w:lvlJc w:val="left"/>
      <w:lvlText w:val="%1."/>
      <w:numFmt w:val="decimal"/>
      <w:start w:val="1"/>
    </w:lvl>
  </w:abstractNum>
  <w:abstractNum w:abstractNumId="88">
    <w:nsid w:val="7055A5F5"/>
    <w:multiLevelType w:val="hybridMultilevel"/>
    <w:lvl w:ilvl="0">
      <w:lvlJc w:val="left"/>
      <w:lvlText w:val="%1."/>
      <w:numFmt w:val="decimal"/>
      <w:start w:val="4"/>
    </w:lvl>
  </w:abstractNum>
  <w:abstractNum w:abstractNumId="89">
    <w:nsid w:val="5FB8370B"/>
    <w:multiLevelType w:val="hybridMultilevel"/>
    <w:lvl w:ilvl="0">
      <w:lvlJc w:val="left"/>
      <w:lvlText w:val="(%1)"/>
      <w:numFmt w:val="decimal"/>
      <w:start w:val="1"/>
    </w:lvl>
  </w:abstractNum>
  <w:abstractNum w:abstractNumId="90">
    <w:nsid w:val="50801EE1"/>
    <w:multiLevelType w:val="hybridMultilevel"/>
    <w:lvl w:ilvl="0">
      <w:lvlJc w:val="left"/>
      <w:lvlText w:val="(%1)"/>
      <w:numFmt w:val="decimal"/>
      <w:start w:val="866"/>
    </w:lvl>
  </w:abstractNum>
  <w:abstractNum w:abstractNumId="91">
    <w:nsid w:val="488AC1A"/>
    <w:multiLevelType w:val="hybridMultilevel"/>
    <w:lvl w:ilvl="0">
      <w:lvlJc w:val="left"/>
      <w:lvlText w:val="%1."/>
      <w:numFmt w:val="upperLetter"/>
      <w:start w:val="1"/>
    </w:lvl>
  </w:abstractNum>
  <w:abstractNum w:abstractNumId="92">
    <w:nsid w:val="5FB8011C"/>
    <w:multiLevelType w:val="hybridMultilevel"/>
    <w:lvl w:ilvl="0">
      <w:lvlJc w:val="left"/>
      <w:lvlText w:val="%1."/>
      <w:numFmt w:val="decimal"/>
      <w:start w:val="1"/>
    </w:lvl>
    <w:lvl w:ilvl="1">
      <w:lvlJc w:val="left"/>
      <w:lvlText w:val="(%2)"/>
      <w:numFmt w:val="lowerLetter"/>
      <w:start w:val="1"/>
    </w:lvl>
  </w:abstractNum>
  <w:abstractNum w:abstractNumId="93">
    <w:nsid w:val="6AA78F7F"/>
    <w:multiLevelType w:val="hybridMultilevel"/>
    <w:lvl w:ilvl="0">
      <w:lvlJc w:val="left"/>
      <w:lvlText w:val="%1"/>
      <w:numFmt w:val="decimal"/>
      <w:start w:val="1"/>
    </w:lvl>
    <w:lvl w:ilvl="1">
      <w:lvlJc w:val="left"/>
      <w:lvlText w:val="(%2)"/>
      <w:numFmt w:val="lowerLetter"/>
      <w:start w:val="3"/>
    </w:lvl>
    <w:lvl w:ilvl="2">
      <w:lvlJc w:val="left"/>
      <w:lvlText w:val="-"/>
      <w:numFmt w:val="bullet"/>
      <w:start w:val="1"/>
    </w:lvl>
  </w:abstractNum>
  <w:abstractNum w:abstractNumId="94">
    <w:nsid w:val="7672BD23"/>
    <w:multiLevelType w:val="hybridMultilevel"/>
    <w:lvl w:ilvl="0">
      <w:lvlJc w:val="left"/>
      <w:lvlText w:val="%1."/>
      <w:numFmt w:val="decimal"/>
      <w:start w:val="2"/>
    </w:lvl>
    <w:lvl w:ilvl="1">
      <w:lvlJc w:val="left"/>
      <w:lvlText w:val="%2"/>
      <w:numFmt w:val="lowerLetter"/>
      <w:start w:val="1"/>
    </w:lvl>
    <w:lvl w:ilvl="2">
      <w:lvlJc w:val="left"/>
      <w:lvlText w:val="-"/>
      <w:numFmt w:val="bullet"/>
      <w:start w:val="1"/>
    </w:lvl>
  </w:abstractNum>
  <w:abstractNum w:abstractNumId="95">
    <w:nsid w:val="6FC75AF8"/>
    <w:multiLevelType w:val="hybridMultilevel"/>
    <w:lvl w:ilvl="0">
      <w:lvlJc w:val="left"/>
      <w:lvlText w:val="%1."/>
      <w:numFmt w:val="decimal"/>
      <w:start w:val="4"/>
    </w:lvl>
    <w:lvl w:ilvl="1">
      <w:lvlJc w:val="left"/>
      <w:lvlText w:val="-"/>
      <w:numFmt w:val="bullet"/>
      <w:start w:val="1"/>
    </w:lvl>
  </w:abstractNum>
  <w:abstractNum w:abstractNumId="96">
    <w:nsid w:val="6A5F7029"/>
    <w:multiLevelType w:val="hybridMultilevel"/>
    <w:lvl w:ilvl="0">
      <w:lvlJc w:val="left"/>
      <w:lvlText w:val="%1."/>
      <w:numFmt w:val="decimal"/>
      <w:start w:val="7"/>
    </w:lvl>
    <w:lvl w:ilvl="1">
      <w:lvlJc w:val="left"/>
      <w:lvlText w:val="(%2)"/>
      <w:numFmt w:val="lowerLetter"/>
      <w:start w:val="1"/>
    </w:lvl>
    <w:lvl w:ilvl="2">
      <w:lvlJc w:val="left"/>
      <w:lvlText w:val="-"/>
      <w:numFmt w:val="bullet"/>
      <w:start w:val="1"/>
    </w:lvl>
  </w:abstractNum>
  <w:abstractNum w:abstractNumId="97">
    <w:nsid w:val="7D5E18F8"/>
    <w:multiLevelType w:val="hybridMultilevel"/>
    <w:lvl w:ilvl="0">
      <w:lvlJc w:val="left"/>
      <w:lvlText w:val="%1."/>
      <w:numFmt w:val="decimal"/>
      <w:start w:val="10"/>
    </w:lvl>
    <w:lvl w:ilvl="1">
      <w:lvlJc w:val="left"/>
      <w:lvlText w:val="(%2)"/>
      <w:numFmt w:val="lowerLetter"/>
      <w:start w:val="1"/>
    </w:lvl>
    <w:lvl w:ilvl="2">
      <w:lvlJc w:val="left"/>
      <w:lvlText w:val="-"/>
      <w:numFmt w:val="bullet"/>
      <w:start w:val="1"/>
    </w:lvl>
  </w:abstractNum>
  <w:abstractNum w:abstractNumId="98">
    <w:nsid w:val="5F3534A4"/>
    <w:multiLevelType w:val="hybridMultilevel"/>
    <w:lvl w:ilvl="0">
      <w:lvlJc w:val="left"/>
      <w:lvlText w:val="%1."/>
      <w:numFmt w:val="decimal"/>
      <w:start w:val="11"/>
    </w:lvl>
    <w:lvl w:ilvl="1">
      <w:lvlJc w:val="left"/>
      <w:lvlText w:val="-"/>
      <w:numFmt w:val="bullet"/>
      <w:start w:val="1"/>
    </w:lvl>
  </w:abstractNum>
  <w:abstractNum w:abstractNumId="99">
    <w:nsid w:val="73A1821B"/>
    <w:multiLevelType w:val="hybridMultilevel"/>
    <w:lvl w:ilvl="0">
      <w:lvlJc w:val="left"/>
      <w:lvlText w:val="%1."/>
      <w:numFmt w:val="decimal"/>
      <w:start w:val="14"/>
    </w:lvl>
    <w:lvl w:ilvl="1">
      <w:lvlJc w:val="left"/>
      <w:lvlText w:val="-"/>
      <w:numFmt w:val="bullet"/>
      <w:start w:val="1"/>
    </w:lvl>
  </w:abstractNum>
  <w:abstractNum w:abstractNumId="100">
    <w:nsid w:val="7DE67713"/>
    <w:multiLevelType w:val="hybridMultilevel"/>
    <w:lvl w:ilvl="0">
      <w:lvlJc w:val="left"/>
      <w:lvlText w:val="%1."/>
      <w:numFmt w:val="decimal"/>
      <w:start w:val="19"/>
    </w:lvl>
  </w:abstractNum>
  <w:abstractNum w:abstractNumId="101">
    <w:nsid w:val="555C55B5"/>
    <w:multiLevelType w:val="hybridMultilevel"/>
    <w:lvl w:ilvl="0">
      <w:lvlJc w:val="left"/>
      <w:lvlText w:val="%1."/>
      <w:numFmt w:val="decimal"/>
      <w:start w:val="20"/>
    </w:lvl>
  </w:abstractNum>
  <w:abstractNum w:abstractNumId="102">
    <w:nsid w:val="3FA62ACA"/>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png"/><Relationship Id="rId33" Type="http://schemas.openxmlformats.org/officeDocument/2006/relationships/image" Target="media/image22.png"/><Relationship Id="rId34" Type="http://schemas.openxmlformats.org/officeDocument/2006/relationships/image" Target="media/image23.png"/><Relationship Id="rId35" Type="http://schemas.openxmlformats.org/officeDocument/2006/relationships/image" Target="media/image24.png"/><Relationship Id="rId36" Type="http://schemas.openxmlformats.org/officeDocument/2006/relationships/image" Target="media/image25.png"/><Relationship Id="rId37" Type="http://schemas.openxmlformats.org/officeDocument/2006/relationships/image" Target="media/image26.png"/><Relationship Id="rId38" Type="http://schemas.openxmlformats.org/officeDocument/2006/relationships/image" Target="media/image27.png"/><Relationship Id="rId39" Type="http://schemas.openxmlformats.org/officeDocument/2006/relationships/image" Target="media/image28.png"/><Relationship Id="rId40" Type="http://schemas.openxmlformats.org/officeDocument/2006/relationships/image" Target="media/image29.png"/><Relationship Id="rId41" Type="http://schemas.openxmlformats.org/officeDocument/2006/relationships/image" Target="media/image30.png"/><Relationship Id="rId42" Type="http://schemas.openxmlformats.org/officeDocument/2006/relationships/image" Target="media/image31.png"/><Relationship Id="rId43" Type="http://schemas.openxmlformats.org/officeDocument/2006/relationships/image" Target="media/image32.png"/><Relationship Id="rId44" Type="http://schemas.openxmlformats.org/officeDocument/2006/relationships/image" Target="media/image33.png"/><Relationship Id="rId45" Type="http://schemas.openxmlformats.org/officeDocument/2006/relationships/image" Target="media/image34.png"/><Relationship Id="rId46" Type="http://schemas.openxmlformats.org/officeDocument/2006/relationships/image" Target="media/image35.png"/><Relationship Id="rId47" Type="http://schemas.openxmlformats.org/officeDocument/2006/relationships/image" Target="media/image36.png"/><Relationship Id="rId48" Type="http://schemas.openxmlformats.org/officeDocument/2006/relationships/image" Target="media/image37.png"/><Relationship Id="rId49" Type="http://schemas.openxmlformats.org/officeDocument/2006/relationships/image" Target="media/image38.png"/><Relationship Id="rId50" Type="http://schemas.openxmlformats.org/officeDocument/2006/relationships/image" Target="media/image39.png"/><Relationship Id="rId51" Type="http://schemas.openxmlformats.org/officeDocument/2006/relationships/image" Target="media/image40.png"/><Relationship Id="rId52" Type="http://schemas.openxmlformats.org/officeDocument/2006/relationships/image" Target="media/image41.png"/><Relationship Id="rId53" Type="http://schemas.openxmlformats.org/officeDocument/2006/relationships/image" Target="media/image42.png"/><Relationship Id="rId54" Type="http://schemas.openxmlformats.org/officeDocument/2006/relationships/image" Target="media/image43.png"/><Relationship Id="rId55" Type="http://schemas.openxmlformats.org/officeDocument/2006/relationships/image" Target="media/image44.png"/><Relationship Id="rId56" Type="http://schemas.openxmlformats.org/officeDocument/2006/relationships/image" Target="media/image45.png"/><Relationship Id="rId57" Type="http://schemas.openxmlformats.org/officeDocument/2006/relationships/image" Target="media/image46.png"/><Relationship Id="rId58" Type="http://schemas.openxmlformats.org/officeDocument/2006/relationships/image" Target="media/image47.png"/><Relationship Id="rId59" Type="http://schemas.openxmlformats.org/officeDocument/2006/relationships/image" Target="media/image48.png"/><Relationship Id="rId60" Type="http://schemas.openxmlformats.org/officeDocument/2006/relationships/image" Target="media/image49.png"/><Relationship Id="rId61" Type="http://schemas.openxmlformats.org/officeDocument/2006/relationships/image" Target="media/image50.png"/><Relationship Id="rId62" Type="http://schemas.openxmlformats.org/officeDocument/2006/relationships/image" Target="media/image51.png"/><Relationship Id="rId63" Type="http://schemas.openxmlformats.org/officeDocument/2006/relationships/image" Target="media/image52.png"/><Relationship Id="rId64" Type="http://schemas.openxmlformats.org/officeDocument/2006/relationships/image" Target="media/image53.png"/><Relationship Id="rId65" Type="http://schemas.openxmlformats.org/officeDocument/2006/relationships/image" Target="media/image54.png"/><Relationship Id="rId66" Type="http://schemas.openxmlformats.org/officeDocument/2006/relationships/image" Target="media/image55.png"/><Relationship Id="rId67" Type="http://schemas.openxmlformats.org/officeDocument/2006/relationships/image" Target="media/image56.png"/><Relationship Id="rId68" Type="http://schemas.openxmlformats.org/officeDocument/2006/relationships/image" Target="media/image57.png"/><Relationship Id="rId69" Type="http://schemas.openxmlformats.org/officeDocument/2006/relationships/image" Target="media/image58.png"/><Relationship Id="rId70" Type="http://schemas.openxmlformats.org/officeDocument/2006/relationships/image" Target="media/image59.png"/><Relationship Id="rId71" Type="http://schemas.openxmlformats.org/officeDocument/2006/relationships/image" Target="media/image60.png"/><Relationship Id="rId72" Type="http://schemas.openxmlformats.org/officeDocument/2006/relationships/image" Target="media/image61.png"/><Relationship Id="rId73" Type="http://schemas.openxmlformats.org/officeDocument/2006/relationships/image" Target="media/image62.png"/><Relationship Id="rId74" Type="http://schemas.openxmlformats.org/officeDocument/2006/relationships/image" Target="media/image63.png"/><Relationship Id="rId75" Type="http://schemas.openxmlformats.org/officeDocument/2006/relationships/image" Target="media/image64.png"/><Relationship Id="rId76" Type="http://schemas.openxmlformats.org/officeDocument/2006/relationships/image" Target="media/image65.png"/><Relationship Id="rId77" Type="http://schemas.openxmlformats.org/officeDocument/2006/relationships/image" Target="media/image66.png"/><Relationship Id="rId78" Type="http://schemas.openxmlformats.org/officeDocument/2006/relationships/image" Target="media/image67.png"/><Relationship Id="rId79" Type="http://schemas.openxmlformats.org/officeDocument/2006/relationships/image" Target="media/image68.png"/><Relationship Id="rId80" Type="http://schemas.openxmlformats.org/officeDocument/2006/relationships/image" Target="media/image69.png"/><Relationship Id="rId81" Type="http://schemas.openxmlformats.org/officeDocument/2006/relationships/image" Target="media/image70.png"/><Relationship Id="rId82" Type="http://schemas.openxmlformats.org/officeDocument/2006/relationships/image" Target="media/image71.png"/><Relationship Id="rId83" Type="http://schemas.openxmlformats.org/officeDocument/2006/relationships/image" Target="media/image72.png"/><Relationship Id="rId84" Type="http://schemas.openxmlformats.org/officeDocument/2006/relationships/image" Target="media/image73.png"/><Relationship Id="rId85" Type="http://schemas.openxmlformats.org/officeDocument/2006/relationships/image" Target="media/image74.png"/><Relationship Id="rId86" Type="http://schemas.openxmlformats.org/officeDocument/2006/relationships/image" Target="media/image75.png"/><Relationship Id="rId87" Type="http://schemas.openxmlformats.org/officeDocument/2006/relationships/image" Target="media/image76.jpeg"/><Relationship Id="rId88" Type="http://schemas.openxmlformats.org/officeDocument/2006/relationships/image" Target="media/image77.jpeg"/><Relationship Id="rId89" Type="http://schemas.openxmlformats.org/officeDocument/2006/relationships/image" Target="media/image78.jpeg"/><Relationship Id="rId90" Type="http://schemas.openxmlformats.org/officeDocument/2006/relationships/image" Target="media/image79.png"/><Relationship Id="rId91" Type="http://schemas.openxmlformats.org/officeDocument/2006/relationships/image" Target="media/image80.png"/><Relationship Id="rId92" Type="http://schemas.openxmlformats.org/officeDocument/2006/relationships/image" Target="media/image81.png"/><Relationship Id="rId93" Type="http://schemas.openxmlformats.org/officeDocument/2006/relationships/image" Target="media/image82.png"/><Relationship Id="rId94" Type="http://schemas.openxmlformats.org/officeDocument/2006/relationships/image" Target="media/image83.png"/><Relationship Id="rId95" Type="http://schemas.openxmlformats.org/officeDocument/2006/relationships/image" Target="media/image84.png"/><Relationship Id="rId96" Type="http://schemas.openxmlformats.org/officeDocument/2006/relationships/image" Target="media/image85.png"/><Relationship Id="rId97" Type="http://schemas.openxmlformats.org/officeDocument/2006/relationships/image" Target="media/image86.png"/><Relationship Id="rId98" Type="http://schemas.openxmlformats.org/officeDocument/2006/relationships/image" Target="media/image87.png"/><Relationship Id="rId99" Type="http://schemas.openxmlformats.org/officeDocument/2006/relationships/image" Target="media/image88.png"/><Relationship Id="rId100" Type="http://schemas.openxmlformats.org/officeDocument/2006/relationships/image" Target="media/image89.png"/><Relationship Id="rId101" Type="http://schemas.openxmlformats.org/officeDocument/2006/relationships/image" Target="media/image90.png"/><Relationship Id="rId102" Type="http://schemas.openxmlformats.org/officeDocument/2006/relationships/image" Target="media/image91.png"/><Relationship Id="rId103" Type="http://schemas.openxmlformats.org/officeDocument/2006/relationships/image" Target="media/image92.png"/><Relationship Id="rId104" Type="http://schemas.openxmlformats.org/officeDocument/2006/relationships/image" Target="media/image93.png"/><Relationship Id="rId105" Type="http://schemas.openxmlformats.org/officeDocument/2006/relationships/image" Target="media/image94.png"/><Relationship Id="rId106" Type="http://schemas.openxmlformats.org/officeDocument/2006/relationships/image" Target="media/image95.png"/><Relationship Id="rId107" Type="http://schemas.openxmlformats.org/officeDocument/2006/relationships/image" Target="media/image96.png"/><Relationship Id="rId108" Type="http://schemas.openxmlformats.org/officeDocument/2006/relationships/image" Target="media/image97.png"/><Relationship Id="rId109" Type="http://schemas.openxmlformats.org/officeDocument/2006/relationships/image" Target="media/image98.png"/><Relationship Id="rId110" Type="http://schemas.openxmlformats.org/officeDocument/2006/relationships/image" Target="media/image99.png"/><Relationship Id="rId111" Type="http://schemas.openxmlformats.org/officeDocument/2006/relationships/image" Target="media/image100.png"/><Relationship Id="rId112" Type="http://schemas.openxmlformats.org/officeDocument/2006/relationships/image" Target="media/image101.png"/><Relationship Id="rId113" Type="http://schemas.openxmlformats.org/officeDocument/2006/relationships/image" Target="media/image102.png"/><Relationship Id="rId114" Type="http://schemas.openxmlformats.org/officeDocument/2006/relationships/image" Target="media/image103.png"/><Relationship Id="rId115" Type="http://schemas.openxmlformats.org/officeDocument/2006/relationships/image" Target="media/image104.png"/><Relationship Id="rId116" Type="http://schemas.openxmlformats.org/officeDocument/2006/relationships/image" Target="media/image105.png"/><Relationship Id="rId117" Type="http://schemas.openxmlformats.org/officeDocument/2006/relationships/image" Target="media/image106.png"/><Relationship Id="rId118" Type="http://schemas.openxmlformats.org/officeDocument/2006/relationships/image" Target="media/image107.png"/><Relationship Id="rId119" Type="http://schemas.openxmlformats.org/officeDocument/2006/relationships/image" Target="media/image108.png"/><Relationship Id="rId120" Type="http://schemas.openxmlformats.org/officeDocument/2006/relationships/image" Target="media/image109.jpeg"/><Relationship Id="rId121" Type="http://schemas.openxmlformats.org/officeDocument/2006/relationships/image" Target="media/image110.png"/><Relationship Id="rId122" Type="http://schemas.openxmlformats.org/officeDocument/2006/relationships/image" Target="media/image111.jpeg"/><Relationship Id="rId123" Type="http://schemas.openxmlformats.org/officeDocument/2006/relationships/image" Target="media/image112.png"/><Relationship Id="rId124" Type="http://schemas.openxmlformats.org/officeDocument/2006/relationships/image" Target="media/image113.jpeg"/><Relationship Id="rId125" Type="http://schemas.openxmlformats.org/officeDocument/2006/relationships/image" Target="media/image114.png"/><Relationship Id="rId126" Type="http://schemas.openxmlformats.org/officeDocument/2006/relationships/image" Target="media/image115.jpeg"/><Relationship Id="rId127" Type="http://schemas.openxmlformats.org/officeDocument/2006/relationships/image" Target="media/image116.png"/><Relationship Id="rId128" Type="http://schemas.openxmlformats.org/officeDocument/2006/relationships/image" Target="media/image117.jpeg"/><Relationship Id="rId129" Type="http://schemas.openxmlformats.org/officeDocument/2006/relationships/image" Target="media/image118.png"/><Relationship Id="rId130" Type="http://schemas.openxmlformats.org/officeDocument/2006/relationships/image" Target="media/image119.jpeg"/><Relationship Id="rId131" Type="http://schemas.openxmlformats.org/officeDocument/2006/relationships/image" Target="media/image120.png"/><Relationship Id="rId132" Type="http://schemas.openxmlformats.org/officeDocument/2006/relationships/image" Target="media/image121.jpeg"/><Relationship Id="rId133" Type="http://schemas.openxmlformats.org/officeDocument/2006/relationships/image" Target="media/image122.jpeg"/><Relationship Id="rId134" Type="http://schemas.openxmlformats.org/officeDocument/2006/relationships/image" Target="media/image123.png"/><Relationship Id="rId135" Type="http://schemas.openxmlformats.org/officeDocument/2006/relationships/image" Target="media/image124.jpeg"/><Relationship Id="rId136" Type="http://schemas.openxmlformats.org/officeDocument/2006/relationships/image" Target="media/image125.png"/><Relationship Id="rId137" Type="http://schemas.openxmlformats.org/officeDocument/2006/relationships/image" Target="media/image126.png"/><Relationship Id="rId138" Type="http://schemas.openxmlformats.org/officeDocument/2006/relationships/image" Target="media/image127.png"/><Relationship Id="rId139" Type="http://schemas.openxmlformats.org/officeDocument/2006/relationships/image" Target="media/image128.png"/><Relationship Id="rId140" Type="http://schemas.openxmlformats.org/officeDocument/2006/relationships/image" Target="media/image129.png"/><Relationship Id="rId141" Type="http://schemas.openxmlformats.org/officeDocument/2006/relationships/image" Target="media/image130.png"/><Relationship Id="rId142" Type="http://schemas.openxmlformats.org/officeDocument/2006/relationships/image" Target="media/image131.png"/><Relationship Id="rId143" Type="http://schemas.openxmlformats.org/officeDocument/2006/relationships/image" Target="media/image132.png"/><Relationship Id="rId144" Type="http://schemas.openxmlformats.org/officeDocument/2006/relationships/image" Target="media/image133.png"/><Relationship Id="rId145" Type="http://schemas.openxmlformats.org/officeDocument/2006/relationships/image" Target="media/image134.png"/><Relationship Id="rId146" Type="http://schemas.openxmlformats.org/officeDocument/2006/relationships/image" Target="media/image135.png"/><Relationship Id="rId147" Type="http://schemas.openxmlformats.org/officeDocument/2006/relationships/image" Target="media/image136.png"/><Relationship Id="rId148" Type="http://schemas.openxmlformats.org/officeDocument/2006/relationships/image" Target="media/image137.png"/><Relationship Id="rId149" Type="http://schemas.openxmlformats.org/officeDocument/2006/relationships/image" Target="media/image138.jpeg"/><Relationship Id="rId150" Type="http://schemas.openxmlformats.org/officeDocument/2006/relationships/image" Target="media/image139.png"/><Relationship Id="rId151" Type="http://schemas.openxmlformats.org/officeDocument/2006/relationships/image" Target="media/image140.png"/><Relationship Id="rId152" Type="http://schemas.openxmlformats.org/officeDocument/2006/relationships/image" Target="media/image141.jpeg"/><Relationship Id="rId153" Type="http://schemas.openxmlformats.org/officeDocument/2006/relationships/image" Target="media/image142.png"/><Relationship Id="rId154" Type="http://schemas.openxmlformats.org/officeDocument/2006/relationships/image" Target="media/image143.png"/><Relationship Id="rId155" Type="http://schemas.openxmlformats.org/officeDocument/2006/relationships/image" Target="media/image144.png"/><Relationship Id="rId156" Type="http://schemas.openxmlformats.org/officeDocument/2006/relationships/image" Target="media/image145.png"/><Relationship Id="rId157" Type="http://schemas.openxmlformats.org/officeDocument/2006/relationships/image" Target="media/image146.png"/><Relationship Id="rId158" Type="http://schemas.openxmlformats.org/officeDocument/2006/relationships/image" Target="media/image147.png"/><Relationship Id="rId159" Type="http://schemas.openxmlformats.org/officeDocument/2006/relationships/image" Target="media/image148.png"/><Relationship Id="rId160" Type="http://schemas.openxmlformats.org/officeDocument/2006/relationships/image" Target="media/image149.png"/><Relationship Id="rId161" Type="http://schemas.openxmlformats.org/officeDocument/2006/relationships/image" Target="media/image150.png"/><Relationship Id="rId162" Type="http://schemas.openxmlformats.org/officeDocument/2006/relationships/image" Target="media/image151.png"/><Relationship Id="rId163" Type="http://schemas.openxmlformats.org/officeDocument/2006/relationships/image" Target="media/image152.png"/><Relationship Id="rId164" Type="http://schemas.openxmlformats.org/officeDocument/2006/relationships/image" Target="media/image153.png"/><Relationship Id="rId165" Type="http://schemas.openxmlformats.org/officeDocument/2006/relationships/image" Target="media/image154.png"/><Relationship Id="rId166" Type="http://schemas.openxmlformats.org/officeDocument/2006/relationships/image" Target="media/image155.png"/><Relationship Id="rId167" Type="http://schemas.openxmlformats.org/officeDocument/2006/relationships/image" Target="media/image156.png"/><Relationship Id="rId168" Type="http://schemas.openxmlformats.org/officeDocument/2006/relationships/image" Target="media/image157.png"/><Relationship Id="rId169" Type="http://schemas.openxmlformats.org/officeDocument/2006/relationships/image" Target="media/image158.png"/><Relationship Id="rId15" Type="http://schemas.openxmlformats.org/officeDocument/2006/relationships/hyperlink" Target="https://www.sec.gov/Archives/edgar/data/1792044/000114036126039024/ef20083514_ex99-1.htm" TargetMode="External"/><Relationship Id="rId16" Type="http://schemas.openxmlformats.org/officeDocument/2006/relationships/hyperlink" Target="https://www.sec.gov/Archives/edgar/data/1792044/000114036126039024/ef20083514_ex99-2.htm" TargetMode="External"/><Relationship Id="rId17" Type="http://schemas.openxmlformats.org/officeDocument/2006/relationships/hyperlink" Target="https://www.sec.gov/Archives/edgar/data/1396814/000114036126039148/ef20083527_ex99-1.htm" TargetMode="External"/><Relationship Id="rId18" Type="http://schemas.openxmlformats.org/officeDocument/2006/relationships/hyperlink" Target="https://www.sec.gov/Archives/edgar/data/1792044/000114036126039024/ef20083514_ex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2026-10-30T06:43:13Z</dcterms:created>
  <dcterms:modified xsi:type="dcterms:W3CDTF">2026-10-30T06:43:13Z</dcterms:modified>
</cp:coreProperties>
</file>