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7240d1_sc14d9c.htm"/>
      <w:bookmarkStart w:id="1" w:name="kstm2627240d1_sc14d9c"/>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14D-9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Solicitation/Recommendation Statement</w:t>
        <w:br/>
        <w:t>Under Section 14(d)(4) of the Securities Exchange Act of 1934</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Pacira BioSciences,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Pacira BioSciences,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Statement)</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$0.001 par value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695127100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D. Lee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Pacira BioSciences,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 Sierra Point Parkway, Suite 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Brisbane, California 94005</w:t>
        <w:br/>
        <w:t>(650) 242-8052</w:t>
      </w:r>
      <w:r>
        <w:rPr>
          <w:rFonts w:ascii="Times New Roman;Times;Serif" w:hAnsi="Times New Roman;Times;Serif"/>
          <w:b w:val="false"/>
          <w:i w:val="false"/>
          <w:caps w:val="false"/>
          <w:smallCaps w:val="false"/>
          <w:sz w:val="20"/>
        </w:rPr>
        <w:br/>
        <w:t>(Name, Address and Telephone Numbers of Person Authorized to Receive Notices and Communications on Behalf of the Persons Filing Statement)</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Day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S. Schulman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Ashurst Perkins Coie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1900 Sixteenth Street, Suite 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Denver, Colorado 80202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 291-2300</w:t>
      </w:r>
    </w:p>
    <w:p>
      <w:pPr>
        <w:pStyle w:val="TextBody"/>
        <w:pBdr>
          <w:bottom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the box if the filing relates solely to preliminary communications made before the commencement of a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14D-9 filing consists of certain communications relating to the proposed acquisition of Pacira BioSciences, Inc., a Delaware corporation (the “Company” or “Pacira”), by Viatris Inc., a Delaware corporation (“Parent”), pursuant to the terms and subject to the conditions of an Agreement and Plan of Merger, dated as of October 8, 2026 (the “Merger Agreement”), by and among the Company, Parent and Peach Purchaser Sub Inc., a Delaware corporation and wholly owned subsidiary of Parent (“Purchaser”). Pursuant to the Merger Agreement, upon the terms and subject to the conditions thereof, Purchaser will commence a tender offer (the “Offer”), to acquire all of the outstanding shares of common stock of the Company, $0.001 par value per share (the “Shares”), at an offer price of $36.50 per Share, in cash, net of applicable withholding taxes and without interest. If successful, the Offer will be followed by a merger of Purchaser with and into the Company (the “Merger”) pursuant to Section 251(h) of the General Corporation Law of the State of Delaware, with the Company continuing as the surviving corporation in the Merger and as a wholly owned subsidiary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14D-9 filing consists of the following documents relating to the proposed Offer and the Merger: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516"/>
        <w:gridCol w:w="9604"/>
      </w:tblGrid>
      <w:tr>
        <w:trPr/>
        <w:tc>
          <w:tcPr>
            <w:tcW w:w="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(i)</w:t>
            </w:r>
          </w:p>
        </w:tc>
        <w:tc>
          <w:tcPr>
            <w:tcW w:w="9604" w:type="dxa"/>
            <w:tcBorders/>
            <w:vAlign w:val="center"/>
          </w:tcPr>
          <w:p>
            <w:pPr>
              <w:pStyle w:val="TableContents"/>
              <w:bidi w:val="0"/>
              <w:spacing w:before="0" w:after="283"/>
              <w:jc w:val="left"/>
              <w:rPr/>
            </w:pPr>
            <w:r>
              <w:rPr/>
              <w:t>Leader FAQs, first used on October 8,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75"/>
        <w:gridCol w:w="9668"/>
      </w:tblGrid>
      <w:tr>
        <w:trPr/>
        <w:tc>
          <w:tcPr>
            <w:tcW w:w="6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(ii)</w:t>
            </w:r>
          </w:p>
        </w:tc>
        <w:tc>
          <w:tcPr>
            <w:tcW w:w="9668" w:type="dxa"/>
            <w:tcBorders/>
            <w:vAlign w:val="center"/>
          </w:tcPr>
          <w:p>
            <w:pPr>
              <w:pStyle w:val="TableContents"/>
              <w:bidi w:val="0"/>
              <w:spacing w:before="0" w:after="283"/>
              <w:jc w:val="left"/>
              <w:rPr/>
            </w:pPr>
            <w:r>
              <w:rPr/>
              <w:t>Letter to External Stakeholders, first used on October 8,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(iii)</w:t>
            </w:r>
          </w:p>
        </w:tc>
        <w:tc>
          <w:tcPr>
            <w:tcW w:w="9454" w:type="dxa"/>
            <w:tcBorders/>
            <w:vAlign w:val="center"/>
          </w:tcPr>
          <w:p>
            <w:pPr>
              <w:pStyle w:val="TableContents"/>
              <w:bidi w:val="0"/>
              <w:spacing w:before="0" w:after="283"/>
              <w:jc w:val="left"/>
              <w:rPr/>
            </w:pPr>
            <w:r>
              <w:rPr/>
              <w:t>Letter to Employees, first used on October 8,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37"/>
        <w:gridCol w:w="9721"/>
      </w:tblGrid>
      <w:tr>
        <w:trPr/>
        <w:tc>
          <w:tcPr>
            <w:tcW w:w="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(iv)</w:t>
            </w:r>
          </w:p>
        </w:tc>
        <w:tc>
          <w:tcPr>
            <w:tcW w:w="9721" w:type="dxa"/>
            <w:tcBorders/>
            <w:vAlign w:val="center"/>
          </w:tcPr>
          <w:p>
            <w:pPr>
              <w:pStyle w:val="TableContents"/>
              <w:bidi w:val="0"/>
              <w:spacing w:before="0" w:after="283"/>
              <w:jc w:val="left"/>
              <w:rPr/>
            </w:pPr>
            <w:r>
              <w:rPr/>
              <w:t>LinkedIn post by Frank Lee, Chief Executive Officer, posted on October 8,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92"/>
        <w:gridCol w:w="9649"/>
      </w:tblGrid>
      <w:tr>
        <w:trPr/>
        <w:tc>
          <w:tcPr>
            <w:tcW w:w="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(v)</w:t>
            </w:r>
          </w:p>
        </w:tc>
        <w:tc>
          <w:tcPr>
            <w:tcW w:w="9649" w:type="dxa"/>
            <w:tcBorders/>
            <w:vAlign w:val="center"/>
          </w:tcPr>
          <w:p>
            <w:pPr>
              <w:pStyle w:val="TableContents"/>
              <w:bidi w:val="0"/>
              <w:spacing w:before="0" w:after="283"/>
              <w:jc w:val="left"/>
              <w:rPr/>
            </w:pPr>
            <w:r>
              <w:rPr/>
              <w:t>LinkedIn post by the Company, posted on October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Items 1.01, 7.01 and 9.01 of the Current Report on Form 8-K filed by the Company on October 8, 2026 (including all exhibits attached thereto and incorporated therein by reference)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Parent or Pacira and either of their products and any other statements regarding Parent’s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Parent and Pacira to meet expectations regarding the timing, completion and accounting and tax treatments of the proposed transaction; the ability of Parent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Parent may be unable to achieve the intended or expected benefits, synergies and operating efficiencies in connection with the proposed transaction within the expected timeframe or at all or to successfully integrate Parent and Pacira; Parent’s or Pacira’s failure to achieve expected or targeted future financial and operating performance and results; the possibility that Parent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Parent’s or Pacira’s liquidity, capital resources and ability to successfully complete capital projections and obtain financing; Parent’s or Pacira’s plans with respect to the repayment of indebtedness; any regulatory, legal or other impediments to Parent’s or Pacira’s ability to bring new products to market; success of clinical trials and Parent’s or Pacira’s (or, with respect to each, its partners’) ability to execute on new product opportunities and develop, manufacture and commercialize products; any changes in or difficulties with Parent’s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Parent or Pacira; any significant breach of data security or data privacy or disruptions to Parent’s or Pacira’s information technology systems; risks associated with having significant operations globally; the strength and ability to protect Parent’s or Pacira’s intellectual property and patent terms and preserve their respective intellectual property rights; changes in third-party relationships; the effect of any changes in Parent’s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Parent or Pacira (or, with respect to each, its partners); uncertainties regarding future demand, pricing and reimbursement for Parent’s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Parent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Parent and Pacira strongly encourages you to do so. Parent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Parent’s website are not incorporated into Parent’s filings with the SEC. Each of Parent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for the Shares described in this communication has not yet commenced. This communication is for informational purposes only and it is neither a recommendation, nor an offer to purchase nor a solicitation of an offer to sell Shares, nor is it a substitute for the tender offer materials that Parent will file with the SEC on Schedule TO. At the time any such tender offer is commenced, Parent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will only be made pursuant to the offer to purchase, the letter of transmittal and other related tender offer documents filed as a part of the Schedule TO. </w:t>
      </w:r>
      <w:r>
        <w:rPr>
          <w:rFonts w:ascii="Times New Roman;Times;Serif" w:hAnsi="Times New Roman;Times;Serif"/>
          <w:b/>
          <w:i w:val="false"/>
          <w:caps w:val="false"/>
          <w:smallCaps w:val="false"/>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Times;Serif" w:hAnsi="Times New Roman;Times;Serif"/>
          <w:b w:val="false"/>
          <w:i w:val="false"/>
          <w:caps w:val="false"/>
          <w:smallCaps w:val="false"/>
          <w:sz w:val="20"/>
        </w:rPr>
        <w:t xml:space="preserve"> The offer to purchase, letter of transmittal and other related tender offer documents, as well as the Solicitation/Recommendation Statement on Schedule 14D-9, will be sent to all stockholders of Pacira at no expense to them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Once filed, stockholders of Pacira will be able to obtain a free copy of these documents and each of Parent’s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Parent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28" w:type="dxa"/>
          <w:right w:w="0" w:type="dxa"/>
        </w:tblCellMar>
      </w:tblPr>
      <w:tblGrid>
        <w:gridCol w:w="770"/>
        <w:gridCol w:w="60"/>
        <w:gridCol w:w="6575"/>
      </w:tblGrid>
      <w:tr>
        <w:trPr/>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w:t>
              <w:br/>
              <w:t xml:space="preserve">Number </w:t>
            </w:r>
          </w:p>
        </w:tc>
        <w:tc>
          <w:tcPr>
            <w:tcW w:w="60" w:type="dxa"/>
            <w:tcBorders>
              <w:bottom w:val="single" w:sz="8" w:space="0" w:color="FFFFFF"/>
            </w:tcBorders>
            <w:vAlign w:val="center"/>
          </w:tcPr>
          <w:p>
            <w:pPr>
              <w:pStyle w:val="TableContents"/>
              <w:bidi w:val="0"/>
              <w:spacing w:before="0" w:after="283"/>
              <w:jc w:val="left"/>
              <w:rPr/>
            </w:pPr>
            <w:r>
              <w:rPr/>
              <w:t> </w:t>
            </w:r>
          </w:p>
        </w:tc>
        <w:tc>
          <w:tcPr>
            <w:tcW w:w="6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770" w:type="dxa"/>
            <w:tcBorders/>
            <w:tcMar>
              <w:bottom w:w="0" w:type="dxa"/>
            </w:tcMar>
            <w:vAlign w:val="center"/>
          </w:tcPr>
          <w:p>
            <w:pPr>
              <w:pStyle w:val="TableContents"/>
              <w:bidi w:val="0"/>
              <w:spacing w:before="0" w:after="283"/>
              <w:jc w:val="left"/>
              <w:rPr/>
            </w:pPr>
            <w:hyperlink w:anchor="tm2627240d1_ex99-1.htm">
              <w:r>
                <w:rPr>
                  <w:rStyle w:val="InternetLink"/>
                  <w:rFonts w:ascii="Times New Roman;Times;Serif" w:hAnsi="Times New Roman;Times;Serif"/>
                  <w:sz w:val="20"/>
                </w:rPr>
                <w:t xml:space="preserve">99.1 </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hyperlink w:anchor="tm2627240d1_ex99-1.htm">
              <w:r>
                <w:rPr>
                  <w:rStyle w:val="InternetLink"/>
                  <w:rFonts w:ascii="Times New Roman;Times;Serif" w:hAnsi="Times New Roman;Times;Serif"/>
                  <w:sz w:val="20"/>
                </w:rPr>
                <w:t xml:space="preserve">Leader FAQs, first used on October 8, 2026. </w:t>
              </w:r>
            </w:hyperlink>
          </w:p>
        </w:tc>
      </w:tr>
      <w:tr>
        <w:trPr/>
        <w:tc>
          <w:tcPr>
            <w:tcW w:w="770" w:type="dxa"/>
            <w:tcBorders/>
            <w:tcMar>
              <w:bottom w:w="0" w:type="dxa"/>
            </w:tcMar>
            <w:vAlign w:val="center"/>
          </w:tcPr>
          <w:p>
            <w:pPr>
              <w:pStyle w:val="TableContents"/>
              <w:bidi w:val="0"/>
              <w:spacing w:before="0" w:after="283"/>
              <w:jc w:val="left"/>
              <w:rPr/>
            </w:pPr>
            <w:hyperlink w:anchor="tm2627240d1_ex99-2.htm">
              <w:r>
                <w:rPr>
                  <w:rStyle w:val="InternetLink"/>
                  <w:rFonts w:ascii="Times New Roman;Times;Serif" w:hAnsi="Times New Roman;Times;Serif"/>
                  <w:sz w:val="20"/>
                </w:rPr>
                <w:t xml:space="preserve">99.2 </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hyperlink w:anchor="tm2627240d1_ex99-2.htm">
              <w:r>
                <w:rPr>
                  <w:rStyle w:val="InternetLink"/>
                  <w:rFonts w:ascii="Times New Roman;Times;Serif" w:hAnsi="Times New Roman;Times;Serif"/>
                  <w:sz w:val="20"/>
                </w:rPr>
                <w:t xml:space="preserve">Letter to External Stakeholders, first used on October 8, 2026. </w:t>
              </w:r>
            </w:hyperlink>
          </w:p>
        </w:tc>
      </w:tr>
      <w:tr>
        <w:trPr/>
        <w:tc>
          <w:tcPr>
            <w:tcW w:w="770" w:type="dxa"/>
            <w:tcBorders/>
            <w:tcMar>
              <w:bottom w:w="0" w:type="dxa"/>
            </w:tcMar>
            <w:vAlign w:val="center"/>
          </w:tcPr>
          <w:p>
            <w:pPr>
              <w:pStyle w:val="TableContents"/>
              <w:bidi w:val="0"/>
              <w:spacing w:before="0" w:after="283"/>
              <w:jc w:val="left"/>
              <w:rPr/>
            </w:pPr>
            <w:hyperlink w:anchor="tm2627240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hyperlink w:anchor="tm2627240d1_ex99-3.htm">
              <w:r>
                <w:rPr>
                  <w:rStyle w:val="InternetLink"/>
                  <w:rFonts w:ascii="Times New Roman;Times;Serif" w:hAnsi="Times New Roman;Times;Serif"/>
                  <w:sz w:val="20"/>
                </w:rPr>
                <w:t>Letter to Employees, first used on October 8, 2026.</w:t>
              </w:r>
            </w:hyperlink>
          </w:p>
        </w:tc>
      </w:tr>
      <w:tr>
        <w:trPr/>
        <w:tc>
          <w:tcPr>
            <w:tcW w:w="770" w:type="dxa"/>
            <w:tcBorders/>
            <w:tcMar>
              <w:bottom w:w="0" w:type="dxa"/>
            </w:tcMar>
            <w:vAlign w:val="center"/>
          </w:tcPr>
          <w:p>
            <w:pPr>
              <w:pStyle w:val="TableContents"/>
              <w:bidi w:val="0"/>
              <w:spacing w:before="0" w:after="283"/>
              <w:jc w:val="left"/>
              <w:rPr/>
            </w:pPr>
            <w:hyperlink w:anchor="tm2627240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hyperlink w:anchor="tm2627240d1_ex99-4.htm">
              <w:r>
                <w:rPr>
                  <w:rStyle w:val="InternetLink"/>
                  <w:rFonts w:ascii="Times New Roman;Times;Serif" w:hAnsi="Times New Roman;Times;Serif"/>
                  <w:sz w:val="20"/>
                </w:rPr>
                <w:t>LinkedIn post by Frank Lee, Chief Executive Officer, posted on October 8, 2026.</w:t>
              </w:r>
            </w:hyperlink>
          </w:p>
        </w:tc>
      </w:tr>
      <w:tr>
        <w:trPr/>
        <w:tc>
          <w:tcPr>
            <w:tcW w:w="770" w:type="dxa"/>
            <w:tcBorders/>
            <w:tcMar>
              <w:bottom w:w="0" w:type="dxa"/>
            </w:tcMar>
            <w:vAlign w:val="center"/>
          </w:tcPr>
          <w:p>
            <w:pPr>
              <w:pStyle w:val="TableContents"/>
              <w:bidi w:val="0"/>
              <w:spacing w:before="0" w:after="283"/>
              <w:jc w:val="left"/>
              <w:rPr/>
            </w:pPr>
            <w:hyperlink w:anchor="tm2627240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hyperlink w:anchor="tm2627240d1_ex99-5.htm">
              <w:r>
                <w:rPr>
                  <w:rStyle w:val="InternetLink"/>
                  <w:rFonts w:ascii="Times New Roman;Times;Serif" w:hAnsi="Times New Roman;Times;Serif"/>
                  <w:sz w:val="20"/>
                </w:rPr>
                <w:t>LinkedIn post by the Company, posted on 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240d1_ex99-1.htm"/>
      <w:bookmarkStart w:id="3" w:name="kstm262724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524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 resource: FAQs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details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agreement to be acquired. Under the agreement, Viatris has agreed to acquire all of the outstanding shares of common stock of Pacira for $36.50 per share in cash, representing an aggregate equity value of $1.65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Viatris acquiring Pacira?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Everything that has been built since Pacira was founded 20 years ago—and the progress we have made in recent years, from our evolution into an innovative biopharmaceutical company and execution of our 5x30 strategy to the strength of our portfolio and pipeline led by PCRX-201—has made Pacira a company others want to be part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is attracted not only to the strength of our science and the impact we have made for patients and providers, but also to the differentiated capabilities we bring: a proven commercial organization with deep customer relationships and expertise in launching and growing non-opioid pain therapies; specialized manufacturing capabilities and operational know-how; a strong development and regulatory foundation; and an experienced team with a track record of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will become a core part of Viatris's innovative medicines portfolio. The combination of their investigational non-opioid and our assets, position Viatris as a leader in non-opioid pain management therapies, an area where we know patients and healthcare providers continue to seek more treatment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reinforces the value of all that we have built and, most importantly, reflects the immense talent and contributions of all of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transaction with Viatris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transaction to close by the end of 2026, subject to customary deal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plan for our product and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will become a core part of Viatris's innovative medicines portfolio. They have the ability to take EXPAREL and ZILRETTA further, and to potentially advance our pipeline faster than we could on our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focus on during this time before the transaction is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we remain focused and continue delivering strong results in Q4. Employees should stay focused on their goals and priorities. If you have questions about whether your day-to-day responsibilities or priorities may be affected, please speak with your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we interact with Viatris during this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Pacira and Viatris remain separate, independent publicly traded companies and must continue to operate that way. This separation is important to comply with federal antitrust and securities laws, preserve independent decision-making, avoid inappropriate sharing of competitively sensitive or confidential information, and ensure that neither company assumes control of the other before all required approvals are obtained and the transaction is closed. Employees should continue to conduct business as they normally would and interact with Viatris only through approved channels and established transition-planning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should I communicate with my customers about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sending letters to our customers, distributors, partners, KOLs, societies and patient advocacy groups in the coming days. If you receive any questions from your customers, please reinforce that nothing has changed in terms of day-to-day business, and that you are still their dedicated Pacira representative and will support them as usual.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to Pacira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is acquiring Pacira as a whole organization. Viatris will evaluate the Pacira business, organizational structure and talent needs of the combined organization and will make strategic determinations about how best to integrate Pacira’s programs and people into their business after closing. Although the details have not yet been finalized, Pacira and Viatris leadership recognize how important this information is to employees and will share updates as soon as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signing and closing of the transaction, Viatris and Pacira will remain separate, independent companies. Our focus remains on serving our customers and achieving our Q4 goals. Currently, we don’t anticipate any changes to the organizational structure prior to closing. Your manager remains your primary resource for questions about your current role, responsibilities, and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will I know if I have a role with Viatris?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change of this magnitude provokes a high degree of uncertainty. Pacira and Viatris leadership recognize how important this information is to Pacira employees and will share updates as soon as decisions are made and we’re able to share them. In the meantime, we encourage Pacira employees to remain focused on their current goals and Q4 deliverables. If you have questions about your day-to-day responsibilities or priorities, please speak with your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am offered a position with Viatris can I decline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Employees who choose not to continue with Viatris would be considered to have voluntarily resigned and would not be eligible for separation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to my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share that upon the closing of the transaction, outstanding equity awards (whether vested or unvested) will be converted into a right to receive an amount of vested cash, which will be calculated pursuant to the terms of the agreement. Payments of such amounts will be made as soon as reasonably practicable after closing and will be subject to applicable tax withholdings. Additional details will be communicated on a future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to my restricted cash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share that upon the closing of the transaction, outstanding restricted cash awards (whether vested or unvested) will be converted into a right to receive an amount of vested cash, which will be calculated pursuant to the terms of the agreement. Payments of such amounts will be made as soon as reasonably practicable after closing and will be subject to applicable tax withholdings. Additional details will be communicated on a future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I am currently enrolled in the 2014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2014 Employee Stock Purchase Plan (“ESPP”) will terminate upon the closing of the transaction, and your accumulated contributions for the current offering period will be used to purchase ESPP shares prior to closing on a date determined by the Pacira Board of Directors. At closing, the purchased ESPP shares will be converted into the right to receive an amount of cash per share determined pursuant to the agreement, and any cash balance in your ESPP account will be refunded to you. Payments made in connection with the transaction will be subject to applicable tax withholdings. Additional details will be communicated as they are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receive a 2026 annual corporate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signing of the agreement, Pacira employees participating in the 2026 annual corporate bonus program remain eligible to earn a 2026 annual bonus, based on actual performance, under the terms and conditions of that program. Accordingly, Pacira employees should remain focused on their goals and Q4 deliverables. If any changes are made to the terms of the program before the transaction closes, we will communicate those changes to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receive my Q4 2026 sales incentive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signing of the agreement, Pacira employees participating in a sales incentive plan remain eligible to earn incentives under the terms and conditions of their plan. Accordingly, Pacira employees should remain focused on their goals and Q4 deliverables. If any changes are made to the terms of a sales incentive plan before the transaction closes, we will communicate those changes to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to my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Pacira continues to operate as an independent company, and our benefits programs will remain in place. Viatris may choose to make changes after closing and, if it does so, will communicate those changes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saw notifications from HR about open enrollment. Do I still need to enroll in benefits for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Pacira employees should make their 2027 benefit elections during Open Enrollment between October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as scheduled. Until the transaction closes, Pacira continues to operate as an independent company, and our benefits programs will remain in place. We are proceeding with planned activities and benefit administration processes, including Open Enrollment, unless and until we receive information that requires a different approach. If any changes are needed before the transaction closes, we will communicate them to Pacira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our current approval processes for hiring, contracts, spend, etc. change during the period between now and when the transaction closes?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still operating as a separate company until the transaction closes, Pacira has agreed to standard interim operating covenants with Viatris, which require approval or consent on certain matters of significance intended to preserve the value of Pacira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manager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Pacira is operating as a separate company. Pacira will continue to manage its business, and our focus remains on serving our customers and meeting our goals. If there are changes that affect our teams, we will communicate them through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Inc. (“Viatris”), through its wholly-owned subsidiary, will commence a tender offer to acquire all of the outstanding shares of common stock, $0.001 par value per share, of Pacira BioSciences, Inc.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Viatris’s or Pacira’s liquidity, capital resources and ability to successfully complete capital projections and obtain financing; Viatris’s or Pacira’s plans with respect to the repayment of indebtedness; any regulatory, legal or other impediments to Viatris’s or Pacira’s ability to bring new products to market; success of clinical trials and Viatris’s or Pacira’s (or, with respect to each, its partners’) ability to execute on new product opportunities and develop, manufacture and commercialize products; any changes in or difficulties with Viatris’s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Viatris’s or Pacira’s information technology systems; risks associated with having significant operations globally; the strength and ability to protect Viatris’s or Pacira’s intellectual property and patent terms and preserve their respective intellectual property rights; changes in third-party relationships; the effect of any changes in Viatris’s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24000"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Viatris’s website are not incorporated into Viatris’s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Pacira’s common stock described in this communication has not yet commenced. This communication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7240d1_ex99-2.htm"/>
      <w:bookmarkStart w:id="5" w:name="kstm2627240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valued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announced that Pacira has entered into an agreement to be acquired by Viatris, Inc. We expect the transaction to close by the end of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and foremost, this changes nothing about our commitment to you, our patients, or our mission. This agreement reinforces the value Pacira has created over two decades and the impact of our portfolio that, with your partnership, has helped more than 20 million patients access non-opioid pain management. Viatris shares our mission to transform the lives of patients living with pain, and I believe its scale and global reach can help bring non-opioid innovation to more patients, faster.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Pacira will become a core part of Viatris’ innovative medicines portfolio. Together, we see an opportunity to leverage the combined businesses scale and substantial resources to expand the reach of our products and advance our innovative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remains unchanged: delivering innovative non-opioid pain therapies that improve outcomes and transform the lives of patients living in pain. We will work together to ensure a seamless transition without disruption to day-to-day operations, patient care and continued service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trust and partnership. We will keep you informed as the transaction moves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D. Lee</w:t>
        <w:br/>
        <w:t>Chief Executive Officer</w:t>
        <w:br/>
        <w:t>Pacira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Inc. (“Viatris”), through its wholly-owned subsidiary, will commence a tender offer to acquire all of the outstanding shares of common stock, $0.001 par value per share, of Pacira BioSciences, Inc.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Viatris’s or Pacira’s liquidity, capital resources and ability to successfully complete capital projections and obtain financing; Viatris’s or Pacira’s plans with respect to the repayment of indebtedness; any regulatory, legal or other impediments to Viatris’s or Pacira’s ability to bring new products to market; success of clinical trials and Viatris’s or Pacira’s (or, with respect to each, its partners’) ability to execute on new product opportunities and develop, manufacture and commercialize products; any changes in or difficulties with Viatris’s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Viatris’s or Pacira’s information technology systems; risks associated with having significant operations globally; the strength and ability to protect Viatris’s or Pacira’s intellectual property and patent terms and preserve their respective intellectual property rights; changes in third-party relationships; the effect of any changes in Viatris’s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Viatris’s website are not incorporated into Viatris’s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Pacira’s common stock described in this communication has not yet commenced. This communication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627240d1_ex99-3.htm"/>
      <w:bookmarkStart w:id="7" w:name="kstm2627240d1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Subject:</w:t>
      </w:r>
      <w:r>
        <w:rPr>
          <w:rFonts w:ascii="Times New Roman;Times;Serif" w:hAnsi="Times New Roman;Times;Serif"/>
          <w:b w:val="false"/>
          <w:i w:val="false"/>
          <w:caps w:val="false"/>
          <w:smallCaps w:val="false"/>
          <w:sz w:val="20"/>
        </w:rPr>
        <w:t xml:space="preserve"> An important update on Pacira’s next chapter – and an invitation to today’s Town 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Pacira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will announce that the Board of Directors unanimously approved and entered into an agreement for Pacira to be acquired by Viatris. I know news like this brings a mix of emotions and many questions, and I wanted you to hear it from me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reinforces the value Pacira built over two decades and, most recently, our transition into an innovative biopharmaceutical company via our 5x30 strategy - none of which could have been achieved without your dedication and passion for our 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Pacira will become a core part of Viatris’ innovative medicines portfolio. Importantly, Viatris and Pacira share the belief that better is possible for the millions of people living with pain. With global scale, substantial resources, and reach, I believe the combined company will take EXPAREL and ZILRETTA further for more patients and advance our pipeline faster than we could on our own. Our mission remains the same- delivering innovative non-opioid pain therapies that transform the lives of patients living in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Please join me for an all-employee Town Hall today</w:t>
      </w:r>
      <w:r>
        <w:rPr>
          <w:rFonts w:ascii="Times New Roman;Times;Serif" w:hAnsi="Times New Roman;Times;Serif"/>
          <w:b w:val="false"/>
          <w:i w:val="false"/>
          <w:caps w:val="false"/>
          <w:smallCaps w:val="false"/>
          <w:sz w:val="20"/>
        </w:rPr>
        <w:t>, where I will share more about this agreement, what it means for our team, and what comes next.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1"/>
        <w:gridCol w:w="9948"/>
      </w:tblGrid>
      <w:tr>
        <w:trPr/>
        <w:tc>
          <w:tcPr>
            <w:tcW w:w="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8" w:type="dxa"/>
            <w:tcBorders/>
            <w:vAlign w:val="center"/>
          </w:tcPr>
          <w:p>
            <w:pPr>
              <w:pStyle w:val="TableContents"/>
              <w:bidi w:val="0"/>
              <w:spacing w:before="0" w:after="283"/>
              <w:jc w:val="left"/>
              <w:rPr/>
            </w:pPr>
            <w:r>
              <w:rPr>
                <w:b/>
              </w:rPr>
              <w:t>When:</w:t>
            </w:r>
            <w:r>
              <w:rPr/>
              <w:t xml:space="preserve"> Thursday, October 8, (12:00 PM ET / 9:00 AM PT)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87"/>
        <w:gridCol w:w="9954"/>
      </w:tblGrid>
      <w:tr>
        <w:trPr/>
        <w:tc>
          <w:tcPr>
            <w:tcW w:w="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4" w:type="dxa"/>
            <w:tcBorders/>
            <w:vAlign w:val="center"/>
          </w:tcPr>
          <w:p>
            <w:pPr>
              <w:pStyle w:val="TableContents"/>
              <w:bidi w:val="0"/>
              <w:spacing w:before="0" w:after="283"/>
              <w:jc w:val="left"/>
              <w:rPr/>
            </w:pPr>
            <w:r>
              <w:rPr>
                <w:b/>
              </w:rPr>
              <w:t>Where:</w:t>
            </w:r>
            <w:r>
              <w:rPr/>
              <w:t xml:space="preserve"> Live from Science Center and via webcast to all sites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meantime, please lean on your leaders. We reached this moment because of the team who never settle for good enough.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everything you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w:t>
        <w:br/>
        <w:t>Frank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Inc. (“Viatris”), through its wholly-owned subsidiary, will commence a tender offer to acquire all of the outstanding shares of common stock, $0.001 par value per share, of Pacira BioSciences, Inc.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Viatris’s or Pacira’s liquidity, capital resources and ability to successfully complete capital projections and obtain financing; Viatris’s or Pacira’s plans with respect to the repayment of indebtedness; any regulatory, legal or other impediments to Viatris’s or Pacira’s ability to bring new products to market; success of clinical trials and Viatris’s or Pacira’s (or, with respect to each, its partners’) ability to execute on new product opportunities and develop, manufacture and commercialize products; any changes in or difficulties with Viatris’s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Viatris’s or Pacira’s information technology systems; risks associated with having significant operations globally; the strength and ability to protect Viatris’s or Pacira’s intellectual property and patent terms and preserve their respective intellectual property rights; changes in third-party relationships; the effect of any changes in Viatris’s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Viatris’s website are not incorporated into Viatris’s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Pacira’s common stock described in this communication has not yet commenced. This communication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 w:name="tm2627240d1_ex99-4.htm"/>
      <w:bookmarkStart w:id="9" w:name="kstm2627240d1_ex994"/>
      <w:bookmarkEnd w:id="8"/>
      <w:bookmarkEnd w:id="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895850" cy="5924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95850" cy="5924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Inc. (“Viatris”), through its wholly-owned subsidiary, will commence a tender offer to acquire all of the outstanding shares of common stock, $0.001 par value per share, of Pacira BioSciences, Inc.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Viatris’s or Pacira’s liquidity, capital resources and ability to successfully complete capital projections and obtain financing; Viatris’s or Pacira’s plans with respect to the repayment of indebtedness; any regulatory, legal or other impediments to Viatris’s or Pacira’s ability to bring new products to market; success of clinical trials and Viatris’s or Pacira’s (or, with respect to each, its partners’) ability to execute on new product opportunities and develop, manufacture and commercialize products; any changes in or difficulties with Viatris’s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Viatris’s or Pacira’s information technology systems; risks associated with having significant operations globally; the strength and ability to protect Viatris’s or Pacira’s intellectual property and patent terms and preserve their respective intellectual property rights; changes in third-party relationships; the effect of any changes in Viatris’s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Viatris’s website are not incorporated into Viatris’s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Pacira’s common stock described in this communication has not yet commenced. This communication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0" w:name="tm2627240d1_ex99-5.htm"/>
      <w:bookmarkStart w:id="11" w:name="kstm2627240d1_ex995"/>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448300" cy="4857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48300" cy="4857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Inc. (“Viatris”), through its wholly-owned subsidiary, will commence a tender offer to acquire all of the outstanding shares of common stock, $0.001 par value per share, of Pacira BioSciences, Inc.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Viatris’s or Pacira’s liquidity, capital resources and ability to successfully complete capital projections and obtain financing; Viatris’s or Pacira’s plans with respect to the repayment of indebtedness; any regulatory, legal or other impediments to Viatris’s or Pacira’s ability to bring new products to market; success of clinical trials and Viatris’s or Pacira’s (or, with respect to each, its partners’) ability to execute on new product opportunities and develop, manufacture and commercialize products; any changes in or difficulties with Viatris’s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Viatris’s or Pacira’s information technology systems; risks associated with having significant operations globally; the strength and ability to protect Viatris’s or Pacira’s intellectual property and patent terms and preserve their respective intellectual property rights; changes in third-party relationships; the effect of any changes in Viatris’s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Viatris’s website are not incorporated into Viatris’s filings with the SEC. Each of Viatris and Pacira undertakes no obligation to update any statements herein for revisions or changes after the date of this communication other than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for the outstanding shares of Pacira’s common stock described in this communication has not yet commenced. This communication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11300</Words>
  <Characters>64841</Characters>
  <CharactersWithSpaces>76225</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