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Froimson Mark</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Pacira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PACIRA BIOSCIENCES,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SIERRA POINT PARKWAY, SUITE 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94005</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w w:val="87"/>
              </w:rPr>
              <w:t>6,405</w:t>
            </w:r>
            <w:r>
              <w:rPr>
                <w:rFonts w:ascii="Times New Roman" w:cs="Times New Roman" w:eastAsia="Times New Roman" w:hAnsi="Times New Roman"/>
                <w:sz w:val="21"/>
                <w:szCs w:val="21"/>
                <w:color w:val="008000"/>
                <w:w w:val="87"/>
                <w:vertAlign w:val="superscript"/>
              </w:rPr>
              <w:t>(1)</w:t>
            </w:r>
          </w:p>
        </w:tc>
        <w:tc>
          <w:tcPr>
            <w:tcW w:w="60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26,541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10,891</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10,891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10,891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June 10, 2027, provided that the reporting person remains in continuous service with the issuer through the vesting date. Each restricted stock unit represents the contingent right to receive one share of the issuer's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on June 10, 2027, provided that the reporting person remains in continuous service with the issuer through the vesting 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Kristen Williams, Attorney-</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9050" TargetMode="External"/><Relationship Id="rId14"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2026-06-12T20:07:59Z</dcterms:created>
  <dcterms:modified xsi:type="dcterms:W3CDTF">2026-06-12T20:07:59Z</dcterms:modified>
</cp:coreProperties>
</file>