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9"/>
        <w:gridCol w:w="288"/>
        <w:gridCol w:w="290"/>
        <w:gridCol w:w="2720"/>
        <w:gridCol w:w="2720"/>
        <w:gridCol w:w="3858"/>
      </w:tblGrid>
      <w:tr>
        <w:trPr/>
        <w:tc>
          <w:tcPr>
            <w:tcW w:w="32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(Mark One)</w:t>
            </w:r>
          </w:p>
        </w:tc>
        <w:tc>
          <w:tcPr>
            <w:tcW w:w="9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For the transition period from     to</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001-35060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320040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9620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60"/>
        <w:jc w:val="center"/>
        <w:rPr/>
      </w:pPr>
      <w:r>
        <w:rPr>
          <w:rFonts w:ascii="Times New Roman;serif" w:hAnsi="Times New Roman;serif"/>
          <w:b/>
          <w:color w:val="000000"/>
          <w:sz w:val="36"/>
        </w:rPr>
        <w:t>PACIRA BIOSCIENCES,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122" w:type="dxa"/>
        <w:jc w:val="center"/>
        <w:tblInd w:w="0" w:type="dxa"/>
        <w:tblLayout w:type="fixed"/>
        <w:tblCellMar>
          <w:top w:w="28" w:type="dxa"/>
          <w:left w:w="28" w:type="dxa"/>
          <w:bottom w:w="28" w:type="dxa"/>
          <w:right w:w="28" w:type="dxa"/>
        </w:tblCellMar>
      </w:tblPr>
      <w:tblGrid>
        <w:gridCol w:w="830"/>
        <w:gridCol w:w="728"/>
        <w:gridCol w:w="737"/>
        <w:gridCol w:w="109"/>
        <w:gridCol w:w="109"/>
        <w:gridCol w:w="109"/>
        <w:gridCol w:w="438"/>
        <w:gridCol w:w="438"/>
        <w:gridCol w:w="624"/>
      </w:tblGrid>
      <w:tr>
        <w:trPr/>
        <w:tc>
          <w:tcPr>
            <w:tcW w:w="83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51-0619477</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2000 Sierra Point Parkway, Suite 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Brisbane, California 94005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and Zip Code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(650) 242-8052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48"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489"/>
        <w:gridCol w:w="489"/>
        <w:gridCol w:w="491"/>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PCRX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909" w:type="dxa"/>
        <w:jc w:val="center"/>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April 29, 2026, 39,347,924 shares of the registrant’s common stock, $0.001 par value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39065"/>
                <wp:effectExtent l="0" t="0" r="0" b="0"/>
                <wp:wrapNone/>
                <wp:docPr id="2" name="Frame1"/>
                <a:graphic xmlns:a="http://schemas.openxmlformats.org/drawingml/2006/main">
                  <a:graphicData uri="http://schemas.microsoft.com/office/word/2010/wordprocessingShape">
                    <wps:wsp>
                      <wps:cNvSpPr txBox="1"/>
                      <wps:spPr>
                        <a:xfrm>
                          <a:off x="0" y="0"/>
                          <a:ext cx="6480175" cy="1390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ii</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PACIRA BIOSCIENCES,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QUARTERLY REPORT ON FORM 10-Q</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QUARTER ENDED MARCH 31,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744" w:type="dxa"/>
        <w:jc w:val="center"/>
        <w:tblInd w:w="0" w:type="dxa"/>
        <w:tblLayout w:type="fixed"/>
        <w:tblCellMar>
          <w:top w:w="28" w:type="dxa"/>
          <w:left w:w="28" w:type="dxa"/>
          <w:bottom w:w="28" w:type="dxa"/>
          <w:right w:w="28" w:type="dxa"/>
        </w:tblCellMar>
      </w:tblPr>
      <w:tblGrid>
        <w:gridCol w:w="630"/>
        <w:gridCol w:w="552"/>
        <w:gridCol w:w="552"/>
        <w:gridCol w:w="2440"/>
        <w:gridCol w:w="2440"/>
        <w:gridCol w:w="2485"/>
        <w:gridCol w:w="188"/>
        <w:gridCol w:w="188"/>
        <w:gridCol w:w="269"/>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40"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 #</w:t>
            </w:r>
          </w:p>
        </w:tc>
      </w:tr>
      <w:tr>
        <w:trPr/>
        <w:tc>
          <w:tcPr>
            <w:tcW w:w="9099" w:type="dxa"/>
            <w:gridSpan w:val="6"/>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0">
              <w:r>
                <w:rPr>
                  <w:rStyle w:val="InternetLink"/>
                  <w:rFonts w:ascii="Times New Roman;serif" w:hAnsi="Times New Roman;serif"/>
                  <w:b/>
                  <w:color w:val="0000FF"/>
                  <w:sz w:val="20"/>
                  <w:u w:val="single"/>
                </w:rPr>
                <w:t>PART I. FINANCIAL INFORMATION</w:t>
              </w:r>
            </w:hyperlink>
          </w:p>
        </w:tc>
        <w:tc>
          <w:tcPr>
            <w:tcW w:w="645" w:type="dxa"/>
            <w:gridSpan w:val="3"/>
            <w:tcBorders>
              <w:top w:val="single" w:sz="8" w:space="0" w:color="000000"/>
            </w:tcBorders>
            <w:shd w:fill="F9F9F9" w:val="clear"/>
            <w:tcMar>
              <w:top w:w="30" w:type="dxa"/>
              <w:left w:w="0" w:type="dxa"/>
              <w:bottom w:w="0" w:type="dxa"/>
              <w:right w:w="0" w:type="dxa"/>
            </w:tcMar>
            <w:vAlign w:val="center"/>
          </w:tcPr>
          <w:p>
            <w:pPr>
              <w:pStyle w:val="TableContents"/>
              <w:bidi w:val="0"/>
              <w:spacing w:lineRule="auto" w:line="240" w:before="0" w:after="0"/>
              <w:jc w:val="center"/>
              <w:rPr/>
            </w:pPr>
            <w:hyperlink w:anchor="ib128f25d0a0545f6af24cecb266f0ed7_10">
              <w:r>
                <w:rPr>
                  <w:rStyle w:val="InternetLink"/>
                  <w:rFonts w:ascii="Times New Roman;serif" w:hAnsi="Times New Roman;serif"/>
                  <w:b w:val="false"/>
                  <w:color w:val="0000FF"/>
                  <w:sz w:val="20"/>
                  <w:u w:val="singl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
              <w:r>
                <w:rPr>
                  <w:rStyle w:val="InternetLink"/>
                  <w:rFonts w:ascii="Times New Roman;serif" w:hAnsi="Times New Roman;serif"/>
                  <w:b w:val="false"/>
                  <w:color w:val="0000FF"/>
                  <w:sz w:val="20"/>
                  <w:u w:val="single"/>
                </w:rPr>
                <w:t>Item 1.</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
              <w:r>
                <w:rPr>
                  <w:rStyle w:val="InternetLink"/>
                  <w:rFonts w:ascii="Times New Roman;serif" w:hAnsi="Times New Roman;serif"/>
                  <w:b w:val="false"/>
                  <w:color w:val="0000FF"/>
                  <w:sz w:val="20"/>
                  <w:u w:val="single"/>
                </w:rPr>
                <w:t>Financial Statements (Unaudited)</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3">
              <w:r>
                <w:rPr>
                  <w:rStyle w:val="InternetLink"/>
                  <w:rFonts w:ascii="Times New Roman;serif" w:hAnsi="Times New Roman;serif"/>
                  <w:b w:val="false"/>
                  <w:color w:val="0000FF"/>
                  <w:sz w:val="20"/>
                  <w:u w:val="single"/>
                </w:rPr>
                <w:t>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6">
              <w:r>
                <w:rPr>
                  <w:rStyle w:val="InternetLink"/>
                  <w:rFonts w:ascii="Times New Roman;serif" w:hAnsi="Times New Roman;serif"/>
                  <w:b w:val="false"/>
                  <w:color w:val="0000FF"/>
                  <w:sz w:val="20"/>
                  <w:u w:val="single"/>
                </w:rPr>
                <w:t>Condensed Consolidated Balance Sheets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6">
              <w:r>
                <w:rPr>
                  <w:rStyle w:val="InternetLink"/>
                  <w:rFonts w:ascii="Times New Roman;serif" w:hAnsi="Times New Roman;serif"/>
                  <w:b w:val="false"/>
                  <w:color w:val="0000FF"/>
                  <w:sz w:val="20"/>
                  <w:u w:val="single"/>
                </w:rPr>
                <w:t>2</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9">
              <w:r>
                <w:rPr>
                  <w:rStyle w:val="InternetLink"/>
                  <w:rFonts w:ascii="Times New Roman;serif" w:hAnsi="Times New Roman;serif"/>
                  <w:b w:val="false"/>
                  <w:color w:val="0000FF"/>
                  <w:sz w:val="20"/>
                  <w:u w:val="single"/>
                </w:rPr>
                <w:t>Condensed Consolidated Statements of Operations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9">
              <w:r>
                <w:rPr>
                  <w:rStyle w:val="InternetLink"/>
                  <w:rFonts w:ascii="Times New Roman;serif" w:hAnsi="Times New Roman;serif"/>
                  <w:b w:val="false"/>
                  <w:color w:val="0000FF"/>
                  <w:sz w:val="20"/>
                  <w:u w:val="single"/>
                </w:rPr>
                <w:t>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22">
              <w:r>
                <w:rPr>
                  <w:rStyle w:val="InternetLink"/>
                  <w:rFonts w:ascii="Times New Roman;serif" w:hAnsi="Times New Roman;serif"/>
                  <w:b w:val="false"/>
                  <w:color w:val="0000FF"/>
                  <w:sz w:val="20"/>
                  <w:u w:val="single"/>
                </w:rPr>
                <w:t>Condensed Consolidated Statements of Comprehensive Income</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22">
              <w:r>
                <w:rPr>
                  <w:rStyle w:val="InternetLink"/>
                  <w:rFonts w:ascii="Times New Roman;serif" w:hAnsi="Times New Roman;serif"/>
                  <w:b w:val="false"/>
                  <w:color w:val="0000FF"/>
                  <w:sz w:val="20"/>
                  <w:u w:val="single"/>
                </w:rPr>
                <w:t>4</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25">
              <w:r>
                <w:rPr>
                  <w:rStyle w:val="InternetLink"/>
                  <w:rFonts w:ascii="Times New Roman;serif" w:hAnsi="Times New Roman;serif"/>
                  <w:b w:val="false"/>
                  <w:color w:val="0000FF"/>
                  <w:sz w:val="20"/>
                  <w:u w:val="single"/>
                </w:rPr>
                <w:t>Condensed Consolidated Statements of Stockholders’ Equity</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25">
              <w:r>
                <w:rPr>
                  <w:rStyle w:val="InternetLink"/>
                  <w:rFonts w:ascii="Times New Roman;serif" w:hAnsi="Times New Roman;serif"/>
                  <w:b w:val="false"/>
                  <w:color w:val="0000FF"/>
                  <w:sz w:val="20"/>
                  <w:u w:val="single"/>
                </w:rPr>
                <w:t>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31">
              <w:r>
                <w:rPr>
                  <w:rStyle w:val="InternetLink"/>
                  <w:rFonts w:ascii="Times New Roman;serif" w:hAnsi="Times New Roman;serif"/>
                  <w:b w:val="false"/>
                  <w:color w:val="0000FF"/>
                  <w:sz w:val="20"/>
                  <w:u w:val="single"/>
                </w:rPr>
                <w:t>Condensed Consolidated Statements of Cash Flows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31">
              <w:r>
                <w:rPr>
                  <w:rStyle w:val="InternetLink"/>
                  <w:rFonts w:ascii="Times New Roman;serif" w:hAnsi="Times New Roman;serif"/>
                  <w:b w:val="false"/>
                  <w:color w:val="0000FF"/>
                  <w:sz w:val="20"/>
                  <w:u w:val="single"/>
                </w:rPr>
                <w:t>6</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34">
              <w:r>
                <w:rPr>
                  <w:rStyle w:val="InternetLink"/>
                  <w:rFonts w:ascii="Times New Roman;serif" w:hAnsi="Times New Roman;serif"/>
                  <w:b w:val="false"/>
                  <w:color w:val="0000FF"/>
                  <w:sz w:val="20"/>
                  <w:u w:val="single"/>
                </w:rPr>
                <w:t>Notes to Condensed Consolidated Financial Statements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34">
              <w:r>
                <w:rPr>
                  <w:rStyle w:val="InternetLink"/>
                  <w:rFonts w:ascii="Times New Roman;serif" w:hAnsi="Times New Roman;serif"/>
                  <w:b w:val="false"/>
                  <w:color w:val="0000FF"/>
                  <w:sz w:val="20"/>
                  <w:u w:val="single"/>
                </w:rPr>
                <w:t>7</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09">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09">
              <w:r>
                <w:rPr>
                  <w:rStyle w:val="InternetLink"/>
                  <w:rFonts w:ascii="Times New Roman;serif" w:hAnsi="Times New Roman;serif"/>
                  <w:b w:val="false"/>
                  <w:color w:val="0000FF"/>
                  <w:sz w:val="20"/>
                  <w:u w:val="single"/>
                </w:rPr>
                <w:t>30</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3">
              <w:r>
                <w:rPr>
                  <w:rStyle w:val="InternetLink"/>
                  <w:rFonts w:ascii="Times New Roman;serif" w:hAnsi="Times New Roman;serif"/>
                  <w:b w:val="false"/>
                  <w:color w:val="0000FF"/>
                  <w:sz w:val="20"/>
                  <w:u w:val="single"/>
                </w:rPr>
                <w:t>Item 3.</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3">
              <w:r>
                <w:rPr>
                  <w:rStyle w:val="InternetLink"/>
                  <w:rFonts w:ascii="Times New Roman;serif" w:hAnsi="Times New Roman;serif"/>
                  <w:b w:val="false"/>
                  <w:color w:val="0000FF"/>
                  <w:sz w:val="20"/>
                  <w:u w:val="single"/>
                </w:rPr>
                <w:t>Quantitative and Qualitative Disclosures About Market Risk</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33">
              <w:r>
                <w:rPr>
                  <w:rStyle w:val="InternetLink"/>
                  <w:rFonts w:ascii="Times New Roman;serif" w:hAnsi="Times New Roman;serif"/>
                  <w:b w:val="false"/>
                  <w:color w:val="0000FF"/>
                  <w:sz w:val="20"/>
                  <w:u w:val="single"/>
                </w:rPr>
                <w:t>46</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6">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6">
              <w:r>
                <w:rPr>
                  <w:rStyle w:val="InternetLink"/>
                  <w:rFonts w:ascii="Times New Roman;serif" w:hAnsi="Times New Roman;serif"/>
                  <w:b w:val="false"/>
                  <w:color w:val="0000FF"/>
                  <w:sz w:val="20"/>
                  <w:u w:val="single"/>
                </w:rPr>
                <w:t>Controls and Procedures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36">
              <w:r>
                <w:rPr>
                  <w:rStyle w:val="InternetLink"/>
                  <w:rFonts w:ascii="Times New Roman;serif" w:hAnsi="Times New Roman;serif"/>
                  <w:b w:val="false"/>
                  <w:color w:val="0000FF"/>
                  <w:sz w:val="20"/>
                  <w:u w:val="single"/>
                </w:rPr>
                <w:t>46</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0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39">
              <w:r>
                <w:rPr>
                  <w:rStyle w:val="InternetLink"/>
                  <w:rFonts w:ascii="Times New Roman;serif" w:hAnsi="Times New Roman;serif"/>
                  <w:b/>
                  <w:color w:val="0000FF"/>
                  <w:sz w:val="20"/>
                  <w:u w:val="single"/>
                </w:rPr>
                <w:t>PART II. OTHER INFORMATION</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39">
              <w:r>
                <w:rPr>
                  <w:rStyle w:val="InternetLink"/>
                  <w:rFonts w:ascii="Times New Roman;serif" w:hAnsi="Times New Roman;serif"/>
                  <w:b w:val="false"/>
                  <w:color w:val="0000FF"/>
                  <w:sz w:val="20"/>
                  <w:u w:val="single"/>
                </w:rPr>
                <w:t>47</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9F9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42">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42">
              <w:r>
                <w:rPr>
                  <w:rStyle w:val="InternetLink"/>
                  <w:rFonts w:ascii="Times New Roman;serif" w:hAnsi="Times New Roman;serif"/>
                  <w:b w:val="false"/>
                  <w:color w:val="0000FF"/>
                  <w:sz w:val="20"/>
                  <w:u w:val="single"/>
                </w:rPr>
                <w:t>Legal Proceedings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42">
              <w:r>
                <w:rPr>
                  <w:rStyle w:val="InternetLink"/>
                  <w:rFonts w:ascii="Times New Roman;serif" w:hAnsi="Times New Roman;serif"/>
                  <w:b w:val="false"/>
                  <w:color w:val="0000FF"/>
                  <w:sz w:val="20"/>
                  <w:u w:val="single"/>
                </w:rPr>
                <w:t>48</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45">
              <w:r>
                <w:rPr>
                  <w:rStyle w:val="InternetLink"/>
                  <w:rFonts w:ascii="Times New Roman;serif" w:hAnsi="Times New Roman;serif"/>
                  <w:b w:val="false"/>
                  <w:color w:val="0000FF"/>
                  <w:sz w:val="20"/>
                  <w:u w:val="single"/>
                </w:rPr>
                <w:t>Item 1A.</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45">
              <w:r>
                <w:rPr>
                  <w:rStyle w:val="InternetLink"/>
                  <w:rFonts w:ascii="Times New Roman;serif" w:hAnsi="Times New Roman;serif"/>
                  <w:b w:val="false"/>
                  <w:color w:val="0000FF"/>
                  <w:sz w:val="20"/>
                  <w:u w:val="single"/>
                </w:rPr>
                <w:t>Risk Factors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45">
              <w:r>
                <w:rPr>
                  <w:rStyle w:val="InternetLink"/>
                  <w:rFonts w:ascii="Times New Roman;serif" w:hAnsi="Times New Roman;serif"/>
                  <w:b w:val="false"/>
                  <w:color w:val="0000FF"/>
                  <w:sz w:val="20"/>
                  <w:u w:val="single"/>
                </w:rPr>
                <w:t>48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48">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48">
              <w:r>
                <w:rPr>
                  <w:rStyle w:val="InternetLink"/>
                  <w:rFonts w:ascii="Times New Roman;serif" w:hAnsi="Times New Roman;serif"/>
                  <w:b w:val="false"/>
                  <w:color w:val="0000FF"/>
                  <w:sz w:val="20"/>
                  <w:u w:val="single"/>
                </w:rPr>
                <w:t>Unregistered Sales of Equity Securities and Use of Proceeds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48">
              <w:r>
                <w:rPr>
                  <w:rStyle w:val="InternetLink"/>
                  <w:rFonts w:ascii="Times New Roman;serif" w:hAnsi="Times New Roman;serif"/>
                  <w:b w:val="false"/>
                  <w:color w:val="0000FF"/>
                  <w:sz w:val="20"/>
                  <w:u w:val="single"/>
                </w:rPr>
                <w:t>48</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54">
              <w:r>
                <w:rPr>
                  <w:rStyle w:val="InternetLink"/>
                  <w:rFonts w:ascii="Times New Roman;serif" w:hAnsi="Times New Roman;serif"/>
                  <w:b w:val="false"/>
                  <w:color w:val="0000FF"/>
                  <w:sz w:val="20"/>
                  <w:u w:val="single"/>
                </w:rPr>
                <w:t>Item 3.</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54">
              <w:r>
                <w:rPr>
                  <w:rStyle w:val="InternetLink"/>
                  <w:rFonts w:ascii="Times New Roman;serif" w:hAnsi="Times New Roman;serif"/>
                  <w:b w:val="false"/>
                  <w:color w:val="0000FF"/>
                  <w:sz w:val="20"/>
                  <w:u w:val="single"/>
                </w:rPr>
                <w:t>Defaults Upon Senior Securities</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54">
              <w:r>
                <w:rPr>
                  <w:rStyle w:val="InternetLink"/>
                  <w:rFonts w:ascii="Times New Roman;serif" w:hAnsi="Times New Roman;serif"/>
                  <w:b w:val="false"/>
                  <w:color w:val="0000FF"/>
                  <w:sz w:val="20"/>
                  <w:u w:val="single"/>
                </w:rPr>
                <w:t>48</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57">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57">
              <w:r>
                <w:rPr>
                  <w:rStyle w:val="InternetLink"/>
                  <w:rFonts w:ascii="Times New Roman;serif" w:hAnsi="Times New Roman;serif"/>
                  <w:b w:val="false"/>
                  <w:color w:val="0000FF"/>
                  <w:sz w:val="20"/>
                  <w:u w:val="single"/>
                </w:rPr>
                <w:t>Mine Safety Disclosures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57">
              <w:r>
                <w:rPr>
                  <w:rStyle w:val="InternetLink"/>
                  <w:rFonts w:ascii="Times New Roman;serif" w:hAnsi="Times New Roman;serif"/>
                  <w:b w:val="false"/>
                  <w:color w:val="0000FF"/>
                  <w:sz w:val="20"/>
                  <w:u w:val="single"/>
                </w:rPr>
                <w:t>48</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63">
              <w:r>
                <w:rPr>
                  <w:rStyle w:val="InternetLink"/>
                  <w:rFonts w:ascii="Times New Roman;serif" w:hAnsi="Times New Roman;serif"/>
                  <w:b w:val="false"/>
                  <w:color w:val="0000FF"/>
                  <w:sz w:val="20"/>
                  <w:u w:val="single"/>
                </w:rPr>
                <w:t>Item 5.</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63">
              <w:r>
                <w:rPr>
                  <w:rStyle w:val="InternetLink"/>
                  <w:rFonts w:ascii="Times New Roman;serif" w:hAnsi="Times New Roman;serif"/>
                  <w:b w:val="false"/>
                  <w:color w:val="0000FF"/>
                  <w:sz w:val="20"/>
                  <w:u w:val="single"/>
                </w:rPr>
                <w:t>Other Information</w:t>
              </w:r>
            </w:hyperlink>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63">
              <w:r>
                <w:rPr>
                  <w:rStyle w:val="InternetLink"/>
                  <w:rFonts w:ascii="Times New Roman;serif" w:hAnsi="Times New Roman;serif"/>
                  <w:b w:val="false"/>
                  <w:color w:val="0000FF"/>
                  <w:sz w:val="20"/>
                  <w:u w:val="single"/>
                </w:rPr>
                <w:t>49</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69">
              <w:r>
                <w:rPr>
                  <w:rStyle w:val="InternetLink"/>
                  <w:rFonts w:ascii="Times New Roman;serif" w:hAnsi="Times New Roman;serif"/>
                  <w:b w:val="false"/>
                  <w:color w:val="0000FF"/>
                  <w:sz w:val="20"/>
                  <w:u w:val="single"/>
                </w:rPr>
                <w:t>Item 6.</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69">
              <w:r>
                <w:rPr>
                  <w:rStyle w:val="InternetLink"/>
                  <w:rFonts w:ascii="Times New Roman;serif" w:hAnsi="Times New Roman;serif"/>
                  <w:b w:val="false"/>
                  <w:color w:val="0000FF"/>
                  <w:sz w:val="20"/>
                  <w:u w:val="single"/>
                </w:rPr>
                <w:t>Exhibits</w:t>
              </w:r>
            </w:hyperlink>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69">
              <w:r>
                <w:rPr>
                  <w:rStyle w:val="InternetLink"/>
                  <w:rFonts w:ascii="Times New Roman;serif" w:hAnsi="Times New Roman;serif"/>
                  <w:b w:val="false"/>
                  <w:color w:val="0000FF"/>
                  <w:sz w:val="20"/>
                  <w:u w:val="single"/>
                </w:rPr>
                <w:t>49</w:t>
              </w:r>
            </w:hyperlink>
          </w:p>
        </w:tc>
      </w:tr>
      <w:tr>
        <w:trPr/>
        <w:tc>
          <w:tcPr>
            <w:tcW w:w="1734"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left"/>
              <w:rPr/>
            </w:pPr>
            <w:hyperlink w:anchor="ib128f25d0a0545f6af24cecb266f0ed7_175">
              <w:r>
                <w:rPr>
                  <w:rStyle w:val="InternetLink"/>
                  <w:rFonts w:ascii="Times New Roman;serif" w:hAnsi="Times New Roman;serif"/>
                  <w:b w:val="false"/>
                  <w:color w:val="0000FF"/>
                  <w:sz w:val="20"/>
                  <w:u w:val="single"/>
                </w:rPr>
                <w:t>Signatures</w:t>
              </w:r>
            </w:hyperlink>
          </w:p>
        </w:tc>
        <w:tc>
          <w:tcPr>
            <w:tcW w:w="7365" w:type="dxa"/>
            <w:gridSpan w:val="3"/>
            <w:tcBorders/>
            <w:shd w:fill="F9F9F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5" w:type="dxa"/>
            <w:gridSpan w:val="3"/>
            <w:tcBorders/>
            <w:shd w:fill="F9F9F9" w:val="clear"/>
            <w:tcMar>
              <w:top w:w="0" w:type="dxa"/>
              <w:left w:w="0" w:type="dxa"/>
              <w:bottom w:w="0" w:type="dxa"/>
              <w:right w:w="0" w:type="dxa"/>
            </w:tcMar>
            <w:vAlign w:val="center"/>
          </w:tcPr>
          <w:p>
            <w:pPr>
              <w:pStyle w:val="TableContents"/>
              <w:bidi w:val="0"/>
              <w:spacing w:lineRule="auto" w:line="240" w:before="0" w:after="0"/>
              <w:jc w:val="center"/>
              <w:rPr/>
            </w:pPr>
            <w:hyperlink w:anchor="ib128f25d0a0545f6af24cecb266f0ed7_175">
              <w:r>
                <w:rPr>
                  <w:rStyle w:val="InternetLink"/>
                  <w:rFonts w:ascii="Times New Roman;serif" w:hAnsi="Times New Roman;serif"/>
                  <w:b w:val="false"/>
                  <w:color w:val="0000FF"/>
                  <w:sz w:val="20"/>
                  <w:u w:val="single"/>
                </w:rPr>
                <w:t>50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pPr>
      <w:r>
        <w:rPr>
          <w:rFonts w:ascii="Times New Roman;serif" w:hAnsi="Times New Roman;serif"/>
          <w:b/>
          <w:color w:val="000000"/>
          <w:sz w:val="20"/>
        </w:rPr>
        <w:t>CONDENSED CONSOLIDATED BALANCE SHEETS</w:t>
      </w:r>
      <w:r>
        <w:rPr>
          <w:color w:val="000000"/>
        </w:rPr>
        <w:t xml:space="preserve"> </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(In thousands, except share and per share amounts)</w: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(Unaudited)</w:t>
      </w:r>
    </w:p>
    <w:tbl>
      <w:tblPr>
        <w:tblW w:w="10205" w:type="dxa"/>
        <w:jc w:val="center"/>
        <w:tblInd w:w="0" w:type="dxa"/>
        <w:tblLayout w:type="fixed"/>
        <w:tblCellMar>
          <w:top w:w="28" w:type="dxa"/>
          <w:left w:w="28" w:type="dxa"/>
          <w:bottom w:w="28" w:type="dxa"/>
          <w:right w:w="28" w:type="dxa"/>
        </w:tblCellMar>
      </w:tblPr>
      <w:tblGrid>
        <w:gridCol w:w="2994"/>
        <w:gridCol w:w="2142"/>
        <w:gridCol w:w="2103"/>
        <w:gridCol w:w="211"/>
        <w:gridCol w:w="976"/>
        <w:gridCol w:w="109"/>
        <w:gridCol w:w="109"/>
        <w:gridCol w:w="109"/>
        <w:gridCol w:w="109"/>
        <w:gridCol w:w="211"/>
        <w:gridCol w:w="976"/>
        <w:gridCol w:w="156"/>
      </w:tblGrid>
      <w:tr>
        <w:trPr/>
        <w:tc>
          <w:tcPr>
            <w:tcW w:w="2994"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Short-term available-for-sale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571,806 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$0.001; 5,000,000 shares authorized; none issued and outstanding at March 31, 2026 and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250,000,000 shares authorized; 48,328,201 shares issued and 39,309,610 shares outstanding at March 31, 2026 and 47,890,777 shares issued and 41,116,739 shares outstanding at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inclusive of excise tax and broker fees, 9,018,591 and 6,774,038 shares at March 31, 2026 and December 31, 2025,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715" w:type="dxa"/>
        <w:jc w:val="center"/>
        <w:tblInd w:w="0" w:type="dxa"/>
        <w:tblLayout w:type="fixed"/>
        <w:tblCellMar>
          <w:top w:w="28" w:type="dxa"/>
          <w:left w:w="28" w:type="dxa"/>
          <w:bottom w:w="28" w:type="dxa"/>
          <w:right w:w="28" w:type="dxa"/>
        </w:tblCellMar>
      </w:tblPr>
      <w:tblGrid>
        <w:gridCol w:w="2251"/>
        <w:gridCol w:w="1982"/>
        <w:gridCol w:w="1992"/>
        <w:gridCol w:w="109"/>
        <w:gridCol w:w="109"/>
        <w:gridCol w:w="140"/>
        <w:gridCol w:w="140"/>
        <w:gridCol w:w="271"/>
        <w:gridCol w:w="1063"/>
        <w:gridCol w:w="140"/>
        <w:gridCol w:w="109"/>
        <w:gridCol w:w="109"/>
        <w:gridCol w:w="109"/>
        <w:gridCol w:w="211"/>
        <w:gridCol w:w="826"/>
        <w:gridCol w:w="154"/>
      </w:tblGrid>
      <w:tr>
        <w:trPr/>
        <w:tc>
          <w:tcPr>
            <w:tcW w:w="225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6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(gains)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7074" w:type="dxa"/>
        <w:jc w:val="center"/>
        <w:tblInd w:w="0" w:type="dxa"/>
        <w:tblLayout w:type="fixed"/>
        <w:tblCellMar>
          <w:top w:w="28" w:type="dxa"/>
          <w:left w:w="28" w:type="dxa"/>
          <w:bottom w:w="28" w:type="dxa"/>
          <w:right w:w="28" w:type="dxa"/>
        </w:tblCellMar>
      </w:tblPr>
      <w:tblGrid>
        <w:gridCol w:w="1374"/>
        <w:gridCol w:w="1205"/>
        <w:gridCol w:w="1216"/>
        <w:gridCol w:w="109"/>
        <w:gridCol w:w="109"/>
        <w:gridCol w:w="165"/>
        <w:gridCol w:w="165"/>
        <w:gridCol w:w="321"/>
        <w:gridCol w:w="937"/>
        <w:gridCol w:w="165"/>
        <w:gridCol w:w="109"/>
        <w:gridCol w:w="109"/>
        <w:gridCol w:w="109"/>
        <w:gridCol w:w="211"/>
        <w:gridCol w:w="616"/>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 on investments,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1550" w:type="dxa"/>
        <w:jc w:val="left"/>
        <w:tblInd w:w="0" w:type="dxa"/>
        <w:tblLayout w:type="fixed"/>
        <w:tblCellMar>
          <w:top w:w="28" w:type="dxa"/>
          <w:left w:w="28" w:type="dxa"/>
          <w:bottom w:w="28" w:type="dxa"/>
          <w:right w:w="28" w:type="dxa"/>
        </w:tblCellMar>
      </w:tblPr>
      <w:tblGrid>
        <w:gridCol w:w="621"/>
        <w:gridCol w:w="282"/>
        <w:gridCol w:w="283"/>
        <w:gridCol w:w="387"/>
        <w:gridCol w:w="259"/>
        <w:gridCol w:w="248"/>
        <w:gridCol w:w="111"/>
        <w:gridCol w:w="111"/>
        <w:gridCol w:w="111"/>
        <w:gridCol w:w="312"/>
        <w:gridCol w:w="259"/>
        <w:gridCol w:w="248"/>
        <w:gridCol w:w="109"/>
        <w:gridCol w:w="109"/>
        <w:gridCol w:w="109"/>
        <w:gridCol w:w="236"/>
        <w:gridCol w:w="398"/>
        <w:gridCol w:w="132"/>
        <w:gridCol w:w="109"/>
        <w:gridCol w:w="109"/>
        <w:gridCol w:w="109"/>
        <w:gridCol w:w="196"/>
        <w:gridCol w:w="75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(6,774)</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 inclusive of excise tax and broker fees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(Note 11)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48,328 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(9,019)</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653,893 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407" w:type="dxa"/>
        <w:jc w:val="left"/>
        <w:tblInd w:w="0" w:type="dxa"/>
        <w:tblLayout w:type="fixed"/>
        <w:tblCellMar>
          <w:top w:w="28" w:type="dxa"/>
          <w:left w:w="28" w:type="dxa"/>
          <w:bottom w:w="28" w:type="dxa"/>
          <w:right w:w="28" w:type="dxa"/>
        </w:tblCellMar>
      </w:tblPr>
      <w:tblGrid>
        <w:gridCol w:w="621"/>
        <w:gridCol w:w="282"/>
        <w:gridCol w:w="283"/>
        <w:gridCol w:w="387"/>
        <w:gridCol w:w="259"/>
        <w:gridCol w:w="248"/>
        <w:gridCol w:w="111"/>
        <w:gridCol w:w="111"/>
        <w:gridCol w:w="111"/>
        <w:gridCol w:w="259"/>
        <w:gridCol w:w="259"/>
        <w:gridCol w:w="248"/>
        <w:gridCol w:w="109"/>
        <w:gridCol w:w="109"/>
        <w:gridCol w:w="109"/>
        <w:gridCol w:w="236"/>
        <w:gridCol w:w="398"/>
        <w:gridCol w:w="132"/>
        <w:gridCol w:w="109"/>
        <w:gridCol w:w="109"/>
        <w:gridCol w:w="109"/>
        <w:gridCol w:w="196"/>
        <w:gridCol w:w="661"/>
        <w:gridCol w:w="109"/>
        <w:gridCol w:w="109"/>
        <w:gridCol w:w="109"/>
        <w:gridCol w:w="109"/>
        <w:gridCol w:w="196"/>
        <w:gridCol w:w="871"/>
        <w:gridCol w:w="109"/>
        <w:gridCol w:w="109"/>
        <w:gridCol w:w="109"/>
        <w:gridCol w:w="109"/>
        <w:gridCol w:w="196"/>
        <w:gridCol w:w="751"/>
        <w:gridCol w:w="109"/>
        <w:gridCol w:w="109"/>
        <w:gridCol w:w="109"/>
        <w:gridCol w:w="109"/>
        <w:gridCol w:w="276"/>
        <w:gridCol w:w="785"/>
        <w:gridCol w:w="155"/>
        <w:gridCol w:w="109"/>
        <w:gridCol w:w="109"/>
        <w:gridCol w:w="109"/>
        <w:gridCol w:w="196"/>
        <w:gridCol w:w="736"/>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47,078 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withheld for employee withholding tax liabilities on vested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(Note 11)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47,121 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383" w:type="dxa"/>
        <w:jc w:val="center"/>
        <w:tblInd w:w="0" w:type="dxa"/>
        <w:tblLayout w:type="fixed"/>
        <w:tblCellMar>
          <w:top w:w="28" w:type="dxa"/>
          <w:left w:w="28" w:type="dxa"/>
          <w:bottom w:w="28" w:type="dxa"/>
          <w:right w:w="28" w:type="dxa"/>
        </w:tblCellMar>
      </w:tblPr>
      <w:tblGrid>
        <w:gridCol w:w="2435"/>
        <w:gridCol w:w="2135"/>
        <w:gridCol w:w="2149"/>
        <w:gridCol w:w="211"/>
        <w:gridCol w:w="826"/>
        <w:gridCol w:w="109"/>
        <w:gridCol w:w="109"/>
        <w:gridCol w:w="109"/>
        <w:gridCol w:w="109"/>
        <w:gridCol w:w="211"/>
        <w:gridCol w:w="8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fixed assets and 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contingent consideration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available-for-sale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GQ Bio Therapeutics GmbH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fixed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available-for-sale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exercises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employee withholding taxes on restricted stock unit vests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 inclusive of broker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 A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2664" w:type="dxa"/>
            <w:gridSpan w:val="9"/>
            <w:tcBorders/>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 included in 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on share repurchases included in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6</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PACIRA BIOSCIENCES,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1—DESCRIPTION OF BUSINESS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Pacira BioSciences, Inc. and its subsidiaries (collectively, the “Company” or “Pacira”) deliver innovative, non-opioid pain therapies to transform the lives of patients. The Company’s long-acting, local analgesic, EXPAREL</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(bupivacaine liposome injectable suspension), was commercially launched in the United States, or U.S., in April 2012 and approved in select European countries and the United Kingdom, or U.K., in November 2021. EXPAREL utilizes the Company’s proprietary multivesicular liposome, or pMVL, drug delivery technology that encapsulates drugs without altering their molecular structure and releases them over a desired period of time. EXPAREL is currently indicated to produce postsurgical local analgesia via infiltration in patients aged six years and older, and postsurgical regional analgesia in adults via (i) an interscalene brachial plexus block in adults; (ii) a sciatic nerve block in the popliteal fossa; or (iii) an adductor canal block in adults for postsurgical pain management (the safety and effectiveness of EXPAREL have not been established to produce postsurgical regional analgesia via other nerve blocks other than an interscalene brachial plexus nerve block, a sciatic nerve block in the popliteal fossa, and an adductor canal block). In November 2021, the Company acquired Flexion Therapeutics, Inc., or Flexion (the “Flexion Acquisition”), and added ZILRETTA</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(triamcinolone acetonide extended-release injectable suspension) to its product portfolio. ZILRETTA is the first and only extended-release, intra-articular (meaning in the joint) injection indicated for the management of osteoarthritis, or OA, knee pain. In April 2019, the Company added iovera</w:t>
      </w:r>
      <w:r>
        <w:rPr>
          <w:rFonts w:ascii="Times New Roman;serif" w:hAnsi="Times New Roman;serif"/>
          <w:b w:val="false"/>
          <w:color w:val="000000"/>
          <w:sz w:val="10"/>
        </w:rPr>
        <w: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to its commercial offering with the acquisition of MyoScience, Inc., or MyoScience, (the “MyoScience Acquisition”). The iovera° system is a handheld cryoanalgesia device that delivers immediate, long-acting, drug-free pain control using precise, controlled doses of cold temperature to a targeted nerve. The Company is also advancing two Phase 2 clinical programs—PCRX-201 (enekinragene inzadenovec), a novel, locally administered gene therapy for OA of the knee, and PCRX-2002, a complementary, long-acting formulation of the non-opioid analgesic ropivacaine for postsurgical pain control. PCRX-201 is the lead program from the Company’s proprietary high-capacity adenovirus, or HCAd, vector platform, which enables local administration of genetic medicines and has the potential to unlock gene therapy for large prevalent diseases affecting millions of people. In February 2025, the Company acquired the remaining 81 percent equity interest in GQ Bio Therapeutics GmbH, or GQ Bio (the “GQ Bio Acquisition”), a privately-held biopharmaceutical company, which included the novel HCAd platform, a preclinical portfolio of HCAd-based assets and research and development talent.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Pacira is subject to risks common to companies in similar industries and stages, including, but not limited to, competition from larger companies and potential generic entrants, reliance on revenue from three products, reliance on a limited number of wholesalers, reliance on a limited number of manufacturing sites, new technological innovations, dependence on key personnel, reliance on third-party service providers and sole source suppliers, tariffs, protection of proprietary technology, compliance with government regulations and risks related to cybersecurity.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2—SUMMARY OF SIGNIFICANT ACCOUNTING POLICIES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These interim condensed consolidated financial statements have been prepared in accordance with generally accepted accounting principles in the United States of America, or GAAP, and in accordance with the rules and regulations of the United States Securities and Exchange Commission, for interim reporting. Pursuant to these rules and regulations, certain information and footnote disclosures normally included in complete annual financial statements have been condensed or omitted. Therefore, these interim condensed consolidated financial statements should be read in conjunction with the audited annual consolidated financial statements and notes thereto included in the Company’s Annual Report on Form 10-K for the year ended December 31, 2025 (the “2025 Annual Report”).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at March 31, 2026, and for the three-month periods ended March 31, 2026 and 2025, are unaudited, but include all adjustments (consisting of only normal recurring adjustments) which, in the opinion of management, are necessary to present fairly the financial information set forth herein in accordance with GAAP. The condensed consolidated balance sheet at December 31, 2025 is derived from the audited consolidated financial statements included in the Company’s 2025 Annual Report. The accounts of wholly-owned subsidiaries are included in the condensed consolidated financial statements. The condensed consolidated financial statements as presented reflect certain reclassifications from previously issued financial statements to conform to the current presentation. Intercompany accounts and transactions have been eliminated in consolidation.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these interim periods are not necessarily indicative of results that may be expected for any other interim periods or for the full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7</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grants performance share units, or PSUs, under its Amended and Restated 2011 Stock Incentive Plan to certain of its employees, including its executive officers. The expense associated with these awards is recognized in the Company’s consolidated statements of operations based on their grant date fair values at the closing price of the Company’s common stock on the date of grant. The expense is recognized over the four-year service period using graded vesting based on the Company’s interim estimates of achievement of a stated performance objective during the one year period subsequent to the grant date. Changes in estimates are recorded on a cumulative catch-up basis. After the one year performance period, the number of shares the employee is entitled to is fixed.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Concentration of Major Customers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includes the percentage of revenues comprised by the Company’s three largest wholesalers in each period presented: </w:t>
      </w:r>
    </w:p>
    <w:tbl>
      <w:tblPr>
        <w:tblW w:w="5103" w:type="dxa"/>
        <w:jc w:val="left"/>
        <w:tblInd w:w="0" w:type="dxa"/>
        <w:tblLayout w:type="fixed"/>
        <w:tblCellMar>
          <w:top w:w="28" w:type="dxa"/>
          <w:left w:w="28" w:type="dxa"/>
          <w:bottom w:w="28" w:type="dxa"/>
          <w:right w:w="28" w:type="dxa"/>
        </w:tblCellMar>
      </w:tblPr>
      <w:tblGrid>
        <w:gridCol w:w="826"/>
        <w:gridCol w:w="725"/>
        <w:gridCol w:w="729"/>
        <w:gridCol w:w="109"/>
        <w:gridCol w:w="109"/>
        <w:gridCol w:w="350"/>
        <w:gridCol w:w="350"/>
        <w:gridCol w:w="350"/>
        <w:gridCol w:w="350"/>
        <w:gridCol w:w="353"/>
        <w:gridCol w:w="109"/>
        <w:gridCol w:w="109"/>
        <w:gridCol w:w="109"/>
        <w:gridCol w:w="153"/>
        <w:gridCol w:w="153"/>
        <w:gridCol w:w="219"/>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852"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Largest wholesaler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Second largest wholesaler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Third largest wholesaler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bl>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 Not Adopted as of March 31, 2026</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November 2024, the Financial Accounting Standards Board, or FASB, issued Accounting Standards Update, or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ASU amendment improves financial reporting by requiring public business entities to disclose additional information about specific expense categories in the notes to financial statements at interim and annual reporting periods. The ASU’s amendments are effective for annual reporting periods beginning after December 31, 2026 and interim periods beginning after December 15, 2027, with early adoption permitted. This ASU amendment can be applied on a prospective basis or retrospectively. The Company is currently evaluating the impact of adopting ASU 2024-03 on its consolidated financial statements and disclosures.</w:t>
      </w:r>
    </w:p>
    <w:p>
      <w:pPr>
        <w:pStyle w:val="TextBody"/>
        <w:bidi w:val="0"/>
        <w:spacing w:lineRule="auto" w:line="288" w:before="180" w:after="200"/>
        <w:ind w:left="0" w:right="0" w:firstLine="45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ASU amendment removed all references to prescriptive and sequential software development stages (referred to as project stages) throughout Subtopic 350-40. This had been replaced by the requirement to start capitalizing software costs when both of the following occur: (i) management has authorized and committed to funding a software project, and (ii) it is probable that the project will be completed and the software will be used to perform the function intended (referred to as the “probable-to-complete recognition threshold”). The ASU’s amendments are effective for fiscal years beginning after December 15, 2027, and interim reporting periods within those annual reporting periods. Early adoption is permitted. The ASU’s amendments may be adopted on a prospective, modified transition approach that is based on the status of a current project and whether software costs were capitalized before the date of adoption or retrospective basis. The Company is currently evaluating the impact of adopting ASU 2025-06 on its consolidated financial statements.</w:t>
      </w:r>
    </w:p>
    <w:p>
      <w:pPr>
        <w:pStyle w:val="TextBody"/>
        <w:bidi w:val="0"/>
        <w:spacing w:lineRule="auto" w:line="288" w:before="180" w:after="120"/>
        <w:ind w:left="0" w:right="0" w:firstLine="450"/>
        <w:jc w:val="left"/>
        <w:rPr/>
      </w:pPr>
      <w:r>
        <w:rPr>
          <w:rFonts w:ascii="Times New Roman;serif" w:hAnsi="Times New Roman;serif"/>
          <w:b w:val="false"/>
          <w:color w:val="000000"/>
          <w:sz w:val="20"/>
        </w:rPr>
        <w:t xml:space="preserve">In December 2025, the FASB issued ASU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The ASU provides the recognition requirements for a government grant received, including guidance for grants related to an asset and grants related to income. The amendments introduce two permitted approaches for asset-related grants: a deferred income approach or a cost accumulation approach. The guidance is effective for fiscal years beginning after December 15, 2028, including interim periods within those fiscal years. Early adoption is permitted in both interim and annual reporting periods in which financial statements have not yet been issued or made available for issuance. This ASU provides for adoption either on a modified prospective, modified retrospective, or retrospective basis. The Company is currently evaluating the impact of adopting ASU 2025-10 on its consolidated financial statements.</w:t>
      </w:r>
    </w:p>
    <w:p>
      <w:pPr>
        <w:pStyle w:val="TextBody"/>
        <w:bidi w:val="0"/>
        <w:spacing w:lineRule="auto" w:line="288" w:before="180" w:after="120"/>
        <w:ind w:left="0" w:right="0" w:firstLine="450"/>
        <w:jc w:val="left"/>
        <w:rPr/>
      </w:pPr>
      <w:r>
        <w:rPr>
          <w:rFonts w:ascii="Times New Roman;serif" w:hAnsi="Times New Roman;serif"/>
          <w:b w:val="false"/>
          <w:color w:val="000000"/>
          <w:sz w:val="20"/>
        </w:rPr>
        <w:t>In December 2025, the FASB issued ASU 2025-11,</w:t>
      </w:r>
      <w:r>
        <w:rPr>
          <w:color w:val="000000"/>
        </w:rPr>
        <w:t xml:space="preserve">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The ASU is intended to update the guidance in Topic 270 by improving navigability of the required interim disclosures and establishing a principle that requires entities to disclose events since the end of the last annual reporting period that have a material impact on the entity. The ASU will be effective for interim reporting periods within annual reporting periods beginning after December 15, 2027. Early adoption is permitted at any time prior to the effective date and should be applied either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8</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prospectively to financial statements issued for reporting periods after the effective date or retrospectively to any or all prior periods presented in the financial statements. The Company is currently evaluating the impact of adopting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3—REVENUE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 from Contracts with Customers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net product sales are primarily within the U.S. and consist of EXPAREL, ZILRETTA, iovera° and sales of bupivacaine liposome injectable suspension for veterinary use. Royalty revenues are related to a collaborative licensing agreement from the sale of the Company’s bupivacaine liposome injectable suspension for veterinary use. The Company does not consider revenue from sources other than sales of EXPAREL and ZILRETTA to be material sources of its consolidated revenue. As such, the following disclosure is limited to revenue associated with net product sales of EXPAREL and ZILRETTA.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Net Product Sales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sells EXPAREL through a drop-ship program under which orders are processed through wholesalers based on orders of the product placed by end-users, namely hospitals, ambulatory surgery centers and healthcare provider offices. EXPAREL is delivered directly to the end-user without the wholesaler ever taking physical possession of the product. The Company primarily sells ZILRETTA to specialty distributors and specialty pharmacies, who then subsequently resell ZILRETTA to physicians, clinics and certain medical centers or hospitals. The Company also contracts directly with healthcare providers and intermediaries such as group purchasing organizations, or GPOs. Product revenue is recognized when control of the promised goods are transferred to the customer, in an amount that reflects the consideration the Company expects to be entitled to in exchange for transferring those goods. EXPAREL and ZILRETTA revenue is recorded at the time the products are transferred to the customer.</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from sales of products are recorded net of returns allowances, prompt payment discounts, service fees, government rebates, customer rebates and chargebacks. These reserves are based on estimates of the amounts earned or to be claimed on the related sales. These amounts are treated as variable consideration, estimated and recognized as a reduction of the transaction price at the time of the sale, using the most likely amount method, except for returns, which is based on the expected value method. The Company includes these estimated amounts in the transaction price to the extent it is probable that a significant reversal of cumulative revenue recognized for such transaction will not occur, or when the uncertainty associated with the variable consideration is resolved.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Chargebacks for fees and discounts represent the estimated obligations resulting from contractual commitments to sell products to Department of Veteran Affairs hospitals, participating GPO members, 340B qualified entities and other contracted customers at prices lower than the list price. The 340B Drug Discount Program is a U.S. federal government program that requires participating drug manufacturers to provide outpatient drugs to eligible health care organizations and covered entities at reduced prices. Customers claim the difference between the amount invoiced and the discounted selling price through a chargeback issued by a wholesaler. Reserves are established in the same period that the related revenue is recognized, resulting in a reduction of product revenue and trade receivables, net. Chargeback amounts are determined at the time of sale and the Company generally issues credits for such amounts within weeks of receiving notification from a wholesaler. Reserves for chargebacks consist of anticipated credits the Company expects to issue based on expected units sold and chargebacks that customers have claimed for which credits have not yet been issued.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calculation for some of these items requires management to make estimates based on sales data, historical return data, contracts, statutory requirements and other related information that may become known in the future. The adequacy of these provisions is reviewed on a quarterly basis.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majority of accounts receivable arise from product sales and represent amounts due from wholesalers, hospitals, ambulatory surgery centers, specialty distributors, specialty pharmacies and individual physicians. Payment terms generally range from zero to four months from the date of the transaction, and accordingly, there is no significant financing component.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in Accounting Standards Codification, or ASC, 606. A contract’s transaction price is allocated to each distinct performance obligation and recognized as revenue when, or as, the performance obligation is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9</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promised in its contracts with customers and identifies a performance obligation for each promise to transfer to the customer a good that is distinct. When identifying individual performance obligations, the Company considers all goods promised in the contract regardless of whether explicitly stated in the customer contract or implied by customary business practices. The Company’s contracts with customers require it to transfer an individual distinct product, which represents a single performance obligation. The Company’s performance obligation with respect to its product sales is satisfied at a point in time, which transfers control upon delivery of EXPAREL and ZILRETTA to its customers. The Company considers control to have transferred upon delivery because the customer has legal title to the asset, physical possession of the asset has been transferred, the customer has significant risks and rewards of ownership of the asset and the Company has a present right to payment at that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represents disaggregated net product sales in the periods presented as follows (in thousands):</w:t>
      </w:r>
    </w:p>
    <w:tbl>
      <w:tblPr>
        <w:tblW w:w="7420" w:type="dxa"/>
        <w:jc w:val="left"/>
        <w:tblInd w:w="0" w:type="dxa"/>
        <w:tblLayout w:type="fixed"/>
        <w:tblCellMar>
          <w:top w:w="28" w:type="dxa"/>
          <w:left w:w="28" w:type="dxa"/>
          <w:bottom w:w="28" w:type="dxa"/>
          <w:right w:w="28" w:type="dxa"/>
        </w:tblCellMar>
      </w:tblPr>
      <w:tblGrid>
        <w:gridCol w:w="1423"/>
        <w:gridCol w:w="1251"/>
        <w:gridCol w:w="1256"/>
        <w:gridCol w:w="109"/>
        <w:gridCol w:w="109"/>
        <w:gridCol w:w="140"/>
        <w:gridCol w:w="140"/>
        <w:gridCol w:w="271"/>
        <w:gridCol w:w="1063"/>
        <w:gridCol w:w="140"/>
        <w:gridCol w:w="109"/>
        <w:gridCol w:w="109"/>
        <w:gridCol w:w="109"/>
        <w:gridCol w:w="211"/>
        <w:gridCol w:w="82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EXPAREL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ZILRETTA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iovera°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Bupivacaine liposome injectable suspension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net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4—INVENTORIES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net are as follows (in thousands):</w:t>
      </w:r>
    </w:p>
    <w:tbl>
      <w:tblPr>
        <w:tblW w:w="4120" w:type="dxa"/>
        <w:jc w:val="left"/>
        <w:tblInd w:w="0" w:type="dxa"/>
        <w:tblLayout w:type="fixed"/>
        <w:tblCellMar>
          <w:top w:w="28" w:type="dxa"/>
          <w:left w:w="28" w:type="dxa"/>
          <w:bottom w:w="28" w:type="dxa"/>
          <w:right w:w="28" w:type="dxa"/>
        </w:tblCellMar>
      </w:tblPr>
      <w:tblGrid>
        <w:gridCol w:w="527"/>
        <w:gridCol w:w="462"/>
        <w:gridCol w:w="467"/>
        <w:gridCol w:w="211"/>
        <w:gridCol w:w="826"/>
        <w:gridCol w:w="109"/>
        <w:gridCol w:w="109"/>
        <w:gridCol w:w="109"/>
        <w:gridCol w:w="109"/>
        <w:gridCol w:w="211"/>
        <w:gridCol w:w="82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5—FIXED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Fixed assets, net, summarized by major category, consist of the following (in thousands):</w:t>
      </w:r>
    </w:p>
    <w:tbl>
      <w:tblPr>
        <w:tblW w:w="5574" w:type="dxa"/>
        <w:jc w:val="left"/>
        <w:tblInd w:w="0" w:type="dxa"/>
        <w:tblLayout w:type="fixed"/>
        <w:tblCellMar>
          <w:top w:w="28" w:type="dxa"/>
          <w:left w:w="28" w:type="dxa"/>
          <w:bottom w:w="28" w:type="dxa"/>
          <w:right w:w="28" w:type="dxa"/>
        </w:tblCellMar>
      </w:tblPr>
      <w:tblGrid>
        <w:gridCol w:w="1053"/>
        <w:gridCol w:w="925"/>
        <w:gridCol w:w="932"/>
        <w:gridCol w:w="211"/>
        <w:gridCol w:w="826"/>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Fixed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2026 and 2025, depreciation expense was $7.0 million and $6.8 million, respectively.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total fixed assets, net, includes manufacturing process equipment and leasehold improvements located outside of the U.S. in the amount of $41.0 million and $41.9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10</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asset retirement obligations of $4.0 million and $3.9 million, respectively, included in accrued expenses and other liabilities on its condensed consolidated balance sheets, for costs associated with returning leased spaces to their original condition upon the termination of certain of its lease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6—LEASES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leases all of its facilities, including its EXPAREL and iovera° handpiece manufacturing and research facilities at its Science Center Campus in San Diego, California. The Company also has two embedded leases with Thermo Fisher Scientific Pharma Services, or Thermo Fisher, for the use of their manufacturing facility in Swindon, U.K. for the production of EXPAREL and ZILRETTA. A portion of the associated monthly base fees have been allocated to the lease components based on a relative fair value basis. As part of the GQ Bio Acquisition in February 2025, the Company’s European offices were assumed and include an R&amp;D lab and offices in Luckenwalde, Germany.</w:t>
      </w:r>
    </w:p>
    <w:p>
      <w:pPr>
        <w:pStyle w:val="TextBody"/>
        <w:bidi w:val="0"/>
        <w:spacing w:lineRule="auto" w:line="288" w:before="12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Between February 2023 and April 2025, the Company had been recognizing sublease income for a portion of office space leased in Burlington, Massachusetts that was assumed as part of the Flexion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operating lease costs for the facilities include lease and non-lease components, such as common area maintenance and other common operating expenses, along with executory costs such as insurance and real estate taxes. Total operating lease expense, net is as follows (in thousands):</w:t>
      </w:r>
    </w:p>
    <w:tbl>
      <w:tblPr>
        <w:tblW w:w="5316" w:type="dxa"/>
        <w:jc w:val="left"/>
        <w:tblInd w:w="0" w:type="dxa"/>
        <w:tblLayout w:type="fixed"/>
        <w:tblCellMar>
          <w:top w:w="28" w:type="dxa"/>
          <w:left w:w="28" w:type="dxa"/>
          <w:bottom w:w="28" w:type="dxa"/>
          <w:right w:w="28" w:type="dxa"/>
        </w:tblCellMar>
      </w:tblPr>
      <w:tblGrid>
        <w:gridCol w:w="619"/>
        <w:gridCol w:w="543"/>
        <w:gridCol w:w="548"/>
        <w:gridCol w:w="109"/>
        <w:gridCol w:w="109"/>
        <w:gridCol w:w="109"/>
        <w:gridCol w:w="109"/>
        <w:gridCol w:w="109"/>
        <w:gridCol w:w="165"/>
        <w:gridCol w:w="165"/>
        <w:gridCol w:w="321"/>
        <w:gridCol w:w="937"/>
        <w:gridCol w:w="165"/>
        <w:gridCol w:w="109"/>
        <w:gridCol w:w="109"/>
        <w:gridCol w:w="109"/>
        <w:gridCol w:w="211"/>
        <w:gridCol w:w="61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308" w:type="dxa"/>
            <w:gridSpan w:val="6"/>
            <w:tcBorders/>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operating leases is as follows (in thousands):</w:t>
      </w:r>
    </w:p>
    <w:tbl>
      <w:tblPr>
        <w:tblW w:w="7760" w:type="dxa"/>
        <w:jc w:val="left"/>
        <w:tblInd w:w="0" w:type="dxa"/>
        <w:tblLayout w:type="fixed"/>
        <w:tblCellMar>
          <w:top w:w="28" w:type="dxa"/>
          <w:left w:w="28" w:type="dxa"/>
          <w:bottom w:w="28" w:type="dxa"/>
          <w:right w:w="28" w:type="dxa"/>
        </w:tblCellMar>
      </w:tblPr>
      <w:tblGrid>
        <w:gridCol w:w="1879"/>
        <w:gridCol w:w="1652"/>
        <w:gridCol w:w="1658"/>
        <w:gridCol w:w="109"/>
        <w:gridCol w:w="109"/>
        <w:gridCol w:w="109"/>
        <w:gridCol w:w="211"/>
        <w:gridCol w:w="616"/>
        <w:gridCol w:w="109"/>
        <w:gridCol w:w="109"/>
        <w:gridCol w:w="109"/>
        <w:gridCol w:w="109"/>
        <w:gridCol w:w="211"/>
        <w:gridCol w:w="616"/>
        <w:gridCol w:w="154"/>
      </w:tblGrid>
      <w:tr>
        <w:trPr/>
        <w:tc>
          <w:tcPr>
            <w:tcW w:w="187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 net of lease incentives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recorded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elected to net the reduction of the right-of-use asset and the reduction of the lease liability principal in other liabilities in the condensed consolidated statements of cash flows.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measured its operating lease liabilities at an estimated discount rate at which it could borrow on a collateralized basis over the remaining term for each operating lease. The weighted average remaining lease terms and the weighted average discount rates are summarized as follows:</w:t>
      </w:r>
    </w:p>
    <w:tbl>
      <w:tblPr>
        <w:tblW w:w="6086" w:type="dxa"/>
        <w:jc w:val="left"/>
        <w:tblInd w:w="0" w:type="dxa"/>
        <w:tblLayout w:type="fixed"/>
        <w:tblCellMar>
          <w:top w:w="28" w:type="dxa"/>
          <w:left w:w="28" w:type="dxa"/>
          <w:bottom w:w="28" w:type="dxa"/>
          <w:right w:w="28" w:type="dxa"/>
        </w:tblCellMar>
      </w:tblPr>
      <w:tblGrid>
        <w:gridCol w:w="1198"/>
        <w:gridCol w:w="1055"/>
        <w:gridCol w:w="1062"/>
        <w:gridCol w:w="109"/>
        <w:gridCol w:w="109"/>
        <w:gridCol w:w="109"/>
        <w:gridCol w:w="255"/>
        <w:gridCol w:w="256"/>
        <w:gridCol w:w="516"/>
        <w:gridCol w:w="109"/>
        <w:gridCol w:w="109"/>
        <w:gridCol w:w="109"/>
        <w:gridCol w:w="255"/>
        <w:gridCol w:w="256"/>
        <w:gridCol w:w="579"/>
      </w:tblGrid>
      <w:tr>
        <w:trPr/>
        <w:tc>
          <w:tcPr>
            <w:tcW w:w="119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years</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11</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Maturities of the Company’s operating lease liabilities are as follows (in thousands):</w:t>
      </w:r>
    </w:p>
    <w:tbl>
      <w:tblPr>
        <w:tblW w:w="4900" w:type="dxa"/>
        <w:jc w:val="left"/>
        <w:tblInd w:w="0" w:type="dxa"/>
        <w:tblLayout w:type="fixed"/>
        <w:tblCellMar>
          <w:top w:w="28" w:type="dxa"/>
          <w:left w:w="28" w:type="dxa"/>
          <w:bottom w:w="28" w:type="dxa"/>
          <w:right w:w="28" w:type="dxa"/>
        </w:tblCellMar>
      </w:tblPr>
      <w:tblGrid>
        <w:gridCol w:w="1023"/>
        <w:gridCol w:w="901"/>
        <w:gridCol w:w="910"/>
        <w:gridCol w:w="109"/>
        <w:gridCol w:w="109"/>
        <w:gridCol w:w="109"/>
        <w:gridCol w:w="338"/>
        <w:gridCol w:w="1155"/>
        <w:gridCol w:w="246"/>
      </w:tblGrid>
      <w:tr>
        <w:trPr/>
        <w:tc>
          <w:tcPr>
            <w:tcW w:w="102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Minimum</w:t>
              <w:br/>
              <w:t>Payments Due</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nine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43,523 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7—GOODWILL AND INTANGIBLE ASSETS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goodwill arose from the GQ Bio Acquisition in February 2025. As of March 31, 2026 and December 31, 2025, the goodwill balance was $19.8 million and $20.2 million, respectively. The change in the goodwill balance from December 31, 2025 was due to $0.4 million in foreign currency translation adjustments.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previously had goodwill resulting from the acquisition of Pacira Pharmaceuticals, Inc. (the Company’s California operating subsidiary) from SkyePharma Holding, Inc. (now a subsidiary of Vectura Group plc, a subsidiary of Molex Asia Holdings Ltd.) in 2007, the MyoScience Acquisition in 2019 and the Flexion Acquisition in 2021. Accumulated goodwill impairment charges through March 31, 2026 were $163.2 million.</w:t>
      </w:r>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of in-process research and development, or IPR&amp;D, from the GQ Bio Acquisition and Flexion Acquisition, developed technology from the Flexion Acquisition and MyoScience Acquisition and customer relationships from the MyoScience Acquisition are summarized as follows (dollar amounts in thousands):</w:t>
      </w:r>
    </w:p>
    <w:tbl>
      <w:tblPr>
        <w:tblW w:w="10205" w:type="dxa"/>
        <w:jc w:val="left"/>
        <w:tblInd w:w="0" w:type="dxa"/>
        <w:tblLayout w:type="fixed"/>
        <w:tblCellMar>
          <w:top w:w="28" w:type="dxa"/>
          <w:left w:w="28" w:type="dxa"/>
          <w:bottom w:w="28" w:type="dxa"/>
          <w:right w:w="28" w:type="dxa"/>
        </w:tblCellMar>
      </w:tblPr>
      <w:tblGrid>
        <w:gridCol w:w="822"/>
        <w:gridCol w:w="725"/>
        <w:gridCol w:w="662"/>
        <w:gridCol w:w="109"/>
        <w:gridCol w:w="109"/>
        <w:gridCol w:w="109"/>
        <w:gridCol w:w="270"/>
        <w:gridCol w:w="1061"/>
        <w:gridCol w:w="139"/>
        <w:gridCol w:w="109"/>
        <w:gridCol w:w="109"/>
        <w:gridCol w:w="109"/>
        <w:gridCol w:w="294"/>
        <w:gridCol w:w="1227"/>
        <w:gridCol w:w="151"/>
        <w:gridCol w:w="109"/>
        <w:gridCol w:w="109"/>
        <w:gridCol w:w="109"/>
        <w:gridCol w:w="270"/>
        <w:gridCol w:w="1061"/>
        <w:gridCol w:w="139"/>
        <w:gridCol w:w="109"/>
        <w:gridCol w:w="109"/>
        <w:gridCol w:w="109"/>
        <w:gridCol w:w="605"/>
        <w:gridCol w:w="605"/>
        <w:gridCol w:w="866"/>
      </w:tblGrid>
      <w:tr>
        <w:trPr/>
        <w:tc>
          <w:tcPr>
            <w:tcW w:w="8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Lives</w:t>
            </w:r>
          </w:p>
        </w:tc>
      </w:tr>
      <w:tr>
        <w:trPr/>
        <w:tc>
          <w:tcPr>
            <w:tcW w:w="2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319,467 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 5 months</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590,090 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(270,596)</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319,494 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Acquired IPR&amp;D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623,823 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(270,596)</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353,227 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(1) The change in the gross carrying value reflects the impact of foreign currency translation adjustments related to the GQ Bio acquired IPR&amp;D.</w:t>
            </w:r>
          </w:p>
        </w:tc>
      </w:tr>
    </w:tbl>
    <w:tbl>
      <w:tblPr>
        <w:tblW w:w="10205" w:type="dxa"/>
        <w:jc w:val="left"/>
        <w:tblInd w:w="0" w:type="dxa"/>
        <w:tblLayout w:type="fixed"/>
        <w:tblCellMar>
          <w:top w:w="28" w:type="dxa"/>
          <w:left w:w="28" w:type="dxa"/>
          <w:bottom w:w="28" w:type="dxa"/>
          <w:right w:w="28" w:type="dxa"/>
        </w:tblCellMar>
      </w:tblPr>
      <w:tblGrid>
        <w:gridCol w:w="871"/>
        <w:gridCol w:w="678"/>
        <w:gridCol w:w="660"/>
        <w:gridCol w:w="109"/>
        <w:gridCol w:w="109"/>
        <w:gridCol w:w="109"/>
        <w:gridCol w:w="270"/>
        <w:gridCol w:w="1061"/>
        <w:gridCol w:w="139"/>
        <w:gridCol w:w="109"/>
        <w:gridCol w:w="109"/>
        <w:gridCol w:w="109"/>
        <w:gridCol w:w="294"/>
        <w:gridCol w:w="1227"/>
        <w:gridCol w:w="151"/>
        <w:gridCol w:w="109"/>
        <w:gridCol w:w="109"/>
        <w:gridCol w:w="109"/>
        <w:gridCol w:w="270"/>
        <w:gridCol w:w="1061"/>
        <w:gridCol w:w="139"/>
        <w:gridCol w:w="109"/>
        <w:gridCol w:w="109"/>
        <w:gridCol w:w="109"/>
        <w:gridCol w:w="605"/>
        <w:gridCol w:w="605"/>
        <w:gridCol w:w="866"/>
      </w:tblGrid>
      <w:tr>
        <w:trPr/>
        <w:tc>
          <w:tcPr>
            <w:tcW w:w="8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Lives</w:t>
            </w:r>
          </w:p>
        </w:tc>
      </w:tr>
      <w:tr>
        <w:trPr/>
        <w:tc>
          <w:tcPr>
            <w:tcW w:w="2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(256,213)</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 5 months</w:t>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590,090 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333,816 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IPR&amp;D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624,374 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(256,274)</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368,100 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Amortization expense on intangible assets was $14.3 million for both the three months ended March 31,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12</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Assuming no changes in the gross carrying amount of these intangible assets, the future estimated amortization expense on the finite-lived intangible assets will be $43.0 million for the remaining nine months of 2026, $57.3 million each year from 2027 to 2030, $37.4 million in 2031, $7.9 million in 2032 and $2.2 million in 2033.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60"/>
        <w:jc w:val="left"/>
        <w:rPr>
          <w:rFonts w:ascii="Times New Roman;serif" w:hAnsi="Times New Roman;serif"/>
          <w:b/>
          <w:color w:val="000000"/>
          <w:sz w:val="20"/>
        </w:rPr>
      </w:pPr>
      <w:r>
        <w:rPr>
          <w:rFonts w:ascii="Times New Roman;serif" w:hAnsi="Times New Roman;serif"/>
          <w:b/>
          <w:color w:val="000000"/>
          <w:sz w:val="20"/>
        </w:rPr>
        <w:t>NOTE 8—ACCRUED EXPENSES</w:t>
      </w:r>
    </w:p>
    <w:p>
      <w:pPr>
        <w:pStyle w:val="TextBody"/>
        <w:bidi w:val="0"/>
        <w:spacing w:lineRule="auto" w:line="288" w:before="180" w:after="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 (in thousands):</w:t>
      </w:r>
    </w:p>
    <w:tbl>
      <w:tblPr>
        <w:tblW w:w="6978" w:type="dxa"/>
        <w:jc w:val="left"/>
        <w:tblInd w:w="0" w:type="dxa"/>
        <w:tblLayout w:type="fixed"/>
        <w:tblCellMar>
          <w:top w:w="28" w:type="dxa"/>
          <w:left w:w="28" w:type="dxa"/>
          <w:bottom w:w="28" w:type="dxa"/>
          <w:right w:w="28" w:type="dxa"/>
        </w:tblCellMar>
      </w:tblPr>
      <w:tblGrid>
        <w:gridCol w:w="1604"/>
        <w:gridCol w:w="1409"/>
        <w:gridCol w:w="1412"/>
        <w:gridCol w:w="211"/>
        <w:gridCol w:w="721"/>
        <w:gridCol w:w="109"/>
        <w:gridCol w:w="109"/>
        <w:gridCol w:w="109"/>
        <w:gridCol w:w="109"/>
        <w:gridCol w:w="230"/>
        <w:gridCol w:w="787"/>
        <w:gridCol w:w="168"/>
      </w:tblGrid>
      <w:tr>
        <w:trPr/>
        <w:tc>
          <w:tcPr>
            <w:tcW w:w="1604"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selling, 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production costs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9,002</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37,841</w:t>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returns and wholesaler service fees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11,554</w:t>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95,601 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9—DEBT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value of the Company’s outstanding debt is summarized as follows (in thousands):</w:t>
      </w:r>
    </w:p>
    <w:tbl>
      <w:tblPr>
        <w:tblW w:w="6684" w:type="dxa"/>
        <w:jc w:val="left"/>
        <w:tblInd w:w="0" w:type="dxa"/>
        <w:tblLayout w:type="fixed"/>
        <w:tblCellMar>
          <w:top w:w="28" w:type="dxa"/>
          <w:left w:w="28" w:type="dxa"/>
          <w:bottom w:w="28" w:type="dxa"/>
          <w:right w:w="28" w:type="dxa"/>
        </w:tblCellMar>
      </w:tblPr>
      <w:tblGrid>
        <w:gridCol w:w="1456"/>
        <w:gridCol w:w="1279"/>
        <w:gridCol w:w="1285"/>
        <w:gridCol w:w="211"/>
        <w:gridCol w:w="826"/>
        <w:gridCol w:w="109"/>
        <w:gridCol w:w="109"/>
        <w:gridCol w:w="109"/>
        <w:gridCol w:w="109"/>
        <w:gridCol w:w="211"/>
        <w:gridCol w:w="82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2.125% Convertible senior notes due May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2029</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May 2024, the Company completed a private placement of $287.5 million in aggregate principal amount of its 2.125% convertible senior notes due 2029, or 2029 Notes, and entered into an indenture with Computershare Corporate Trust, N.A., or 2029 Indenture, with respect to the 2029 Notes. The 2029 Notes accrue interest at a fixed rate of 2.125% per year, payable semiannually in arrears on May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November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The 2029 Notes mature on May 15, 2029.</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total debt composition of the 2029 Notes was as follows (in thousands):</w:t>
      </w:r>
    </w:p>
    <w:tbl>
      <w:tblPr>
        <w:tblW w:w="6639" w:type="dxa"/>
        <w:jc w:val="left"/>
        <w:tblInd w:w="0" w:type="dxa"/>
        <w:tblLayout w:type="fixed"/>
        <w:tblCellMar>
          <w:top w:w="28" w:type="dxa"/>
          <w:left w:w="28" w:type="dxa"/>
          <w:bottom w:w="28" w:type="dxa"/>
          <w:right w:w="28" w:type="dxa"/>
        </w:tblCellMar>
      </w:tblPr>
      <w:tblGrid>
        <w:gridCol w:w="1440"/>
        <w:gridCol w:w="1265"/>
        <w:gridCol w:w="1270"/>
        <w:gridCol w:w="211"/>
        <w:gridCol w:w="826"/>
        <w:gridCol w:w="109"/>
        <w:gridCol w:w="109"/>
        <w:gridCol w:w="109"/>
        <w:gridCol w:w="109"/>
        <w:gridCol w:w="211"/>
        <w:gridCol w:w="826"/>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2.125% convertible senior notes due May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 net of deferred financing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March 31, 2026, the 2029 Notes had a market price of $967 per $1,000 principal amount. In the event of conversion, holders would forgo all future interest payments, any unpaid accrued interest and the possibility of further stock price appreciation. Upon the receipt of conversion requests, the settlement of the 2029 Notes will be paid pursuant to the terms of the 2029 Indenture. In the event that all of the 2029 Notes are converted, the Company would be required to repay the $287.5 million in principal value in cash, whereas any conversion premium would be required to be repaid in any combination of cash and shares of its common stock (at the Company’s option).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the business day immediately preceding November 15, 2028, the 2029 Notes are convertible only under the following circumstances: (i) during any calendar quarter commencing after the calendar quarter ending on June 30, 2024 (and only during such calendar quarter), if the last reported sale price of the Common Stock for at least 20 trading days (whether or not consecutive) during a period of 30 consecutive trading days ending on the last trading day of the immediately preceding calendar quarter is equal to or greater than 130% of the conversion price on each applicable trading day; (ii) during the five business-day period after any five consecutive trading-day period (the “measurement period”) in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13</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trading price per $1,000 principal amount of the 2029 Notes for each trading day of the measurement period was less than 98% of the product of the last reported sale price of the Company’s common stock and the conversion rate on each such trading day; (iii) upon the occurrence of specified corporate events; or (iv) upon a Company redemption. On or after November 15, 2028, until the close of business on the second scheduled trading day immediately preceding May 15, 2029, holders of the 2029 Notes may convert all or a portion of their 2029 Notes, at any time. No sinking fund is provided for the 2029 Notes. As of March 31, 2026, the conditions for conversion were not met. On or after November 15, 2028, until the close of business on the second scheduled trading day immediately preceding May 15, 2029, holders may convert their 2029 Notes at any time.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Upon conversion, holders will receive the principal amount of their 2029 Notes and any excess conversion value, calculated based on the per share volume-weighted average price for each of the 50 consecutive trading days during the observation period (as more fully described in the 2029 Indenture). For the principal, the Company will settle in cash per the terms of the 2029 Notes. For any excess conversion value, holders may receive cash, shares of the Company’s common stock or a combination of cash and shares of the Company’s common stock, at the Company’s option. The initial conversion rate for the 2029 Notes is 25.2752 shares of common stock per $1,000 principal amount, which is equivalent to an initial conversion price of $39.56 per share of the Company’s common stock. The conversion rate will be subject to adjustment in some events but will not be adjusted for any accrued and unpaid interest. The initial conversion price of the 2029 Notes represents a premium of approximately 32.5% to the closing sale price of $29.86 per share of the Company’s common stock on the Nasdaq Global Select Market on May 9, 2024, the date that the Company priced the private offering of the 2029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On or after May 17, 2027 and on or before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scheduled trading day immediately before the maturity date, the Company may redeem for cash all or part of the 2029 Notes if (i) the 2029 Notes are “freely tradable” (as defined in the 2029 Indenture) and any accrued and unpaid additional interest has been paid as of the date the Company sends the related notice of the redemption and (ii) the last reported sales price of the Company’s common stock exceeds 130% of the conversion price then in effect for (1) each of at least 20 trading days (whether or not consecutive) during any 30 consecutive trading days ending on, and including, the trading day immediately before the date the Company sends the related notice of the redemption; and (2) the trading day immediately before the date the Company sends such notice. The redemption price of each 2029 Note to be redeemed will be the principal amount of such 2029 Note, plus accrued and unpaid interest, if any. In addition, calling any 2029 Notes for redemption will constitute a make-whole fundamental change, in which case the conversion rate applicable to those 2029 Notes, if converted in connection with the redemption, will be increased in certain circumstances. Upon the occurrence of a “make-whole fundamental change” (as defined in the 2029 Indenture), subject to a limited exception for certain cash mergers, holders may require the Company to repurchase all or a portion of their 2029 Notes for cash at a price equal to 100% of the principal amount of the 2029 Notes to be repurchased plus any accrued and unpaid interest.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the 2029 Notes are currently classified on the Company’s condensed consolidated balance sheet at March 31, 2026 as long-term debt, the future convertibility and resulting balance sheet classification of this liability is monitored at each quarterly reporting date and is analyzed dependent upon market prices of the Company’s common stock during the prescribed measurement periods. In the event that the holders of the 2029 Notes have the election to convert the 2029 Notes at any time during the prescribed measurement period, the 2029 Notes would then be considered a current obligation and classified as such.</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May 9, 2024, in connection with the pricing of the 2029 Notes, and on May 10, 2024, in connection with the exercise in full by the initial purchasers of the 2029 Notes (the “Initial Purchasers”) of their option to purchase additional 2029 Notes, the Company entered into privately negotiated capped call transactions (the “Capped Call Transactions”) with certain of the Initial Purchasers of the 2029 Notes and/or their respective affiliates and/or other financial institutions (the “Option Counterparties”). The Capped Call Transactions are expected to cover, subject to anti-dilution adjustments substantially similar to those applicable to the 2029 Notes, the number of shares of the Company’s common stock underlying the 2029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expected to reduce the potential dilution to the Company’s common stock upon any conversion of the 2029 Notes and/or offset any potential cash payments the Company is required to make in excess of the principal amount of converted 2029 Notes, as the case may be, upon any conversion of the 2029 Notes, with such reduction and/or offset subject to a cap. The cap price of the Capped Call Transactions will initially be approximately $53.75 per share, representing a premium of approximately 80% over the closing price of $29.86 per share of the Company’s common stock on May 9, 2024, and is subject to certain adjustments under the terms of the Capped Call Transactions. During the year ended December 31, 2024, the capped call was recorded as a reduction to additional paid-in capital at its cost of $26.7 million, partially offset by a $6.5 million deferred tax asset.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are separate transactions entered into by the Company with the Option Counterparties, are not part of the terms of the 2029 Notes and will not affect any holder’s rights under the 2029 Notes. Holders of the 2029 Notes will not have any rights with respect to the Capped Call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14</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3, 2025, the Company entered into a credit agreement (the “Credit Agreement”) with Wells Fargo Bank, N.A., as administrative agent, swingline lender and an issuing bank, and certain lenders, to, among other things, retire the indebtedness outstanding under the Company’s then-existing TLA Credit Agreement and provide ongoing working capital.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provides for a senior secured revolving credit facility (the “Revolving Credit Facility”) in an aggregate commitment amount of $300.0 million, with a letter of credit sublimit of $10.0 million and swingline loan sublimit of $15.0 million. The credit facility is secured by substantially all of the Company’s and each subsidiary guarantor’s assets and is scheduled to mature on July 3, 2030, subject to certain exceptions set forth in the Credit Agreement. Subject to certain conditions, the Company may, at any time, on one or more occasions, add one or more new classes of term facilities and/or increase the principal amount of any existing class of term loans by requesting one or more incremental term facilities in an aggregate principal amount not to exceed the greater of $225.0 million and 100% of Consolidated Earnings Before Interest Taxes Depreciation and Amortization (EBITDA) (as defined in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revolving loan borrowing which is an alternate base rate borrowing will bear interest at a rate per annum equal to (i) a base rate, plus (ii) a spread based on the Company’s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the Company’s Senior Secured Net Leverage Ratio ranging from 2.50% to 3.25%.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contains customary affirmative and negative covenants, financial covenants, representations and warranties, events of default and other provisions. As of March 31, 2026, the Company was in compliance with all covenants under the Credit Agreement.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incurred financing fees of approximately $2.1 million which were recorded as a noncurrent other asset on the Company’s condensed consolidated balance sheet. The financing fees are amortized over the term of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entering into the Credit Agreement, the Company borrowed $101.0 million under the Revolving Credit Facility, of which $86.0 million is outstanding as of March 31, 2026 after the Company made repayments of $5.0 million during the three months ended March 31, 2026 and $10.0 million during the year ended December 31, 2025.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March 31, 2026, borrowings under the Revolving Credit Facility consisted entirely of term SOFR borrowings at an approximate all-in rate of 6.25%.</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2028 Term Loan A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2023, the Company entered into a credit agreement (as amended and/or restated to date, the “TLA Credit Agreement”) with JPMorgan Chase Bank, N.A., as administrative agent, and certain lenders. The term loan issued under the TLA Credit Agreement (the “TLA Term Loan”) was issued at a 0.30% discount and provided for a single-advance term loan A facility in the principal amount of $150.0 million, which was secured by substantially all of the Company’s and any subsidiary guarantor’s assets. The net proceeds of the TLA Term Loan were approximately $149.6 million after deducting an original issue discount of $0.4 million.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TLA Term Loan was scheduled to mature on March 31, 2028 and the TLA Credit Agreement required quarterly repayments of principal in the amount of $2.8 million which commenced on June 30, 2023 and increased to $3.8 million on March 31, 2025, with an originally stated balloon payment of approximately $85.3 million due at maturity.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 2025, the Company used a portion of the $300.0 million of Revolving Credit Facility to repay the remaining indebtedness outstanding under the TLA Credit Agreement, which consisted of $98.8 million and its final interest payment of $0.1 million, and terminated the TLA Credit Agreement. The Company did not incur any prepayment penalties or fees in connection with the termination of the TLA Credit Agreement. The prepayment resulted in a loss on early extinguishment of debt of approximately $1.0 million which was recognized during the three months ended September 30, 2025. Prior to the TLA Credit Agreement extinguishment, the Company made voluntary principal prepayments of $6.6 million during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15</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Due 2025</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July 2020, the Company completed a private placement of $402.5 million in aggregate principal amount of 0.750% convertible senior notes due 2025, or 2025 Notes, and entered into an indenture with Computershare Corporate Trust, N.A. (formerly Wells Fargo Bank, N.A.), with respect to the 2025 Notes. The 2025 Notes accrued interest at a fixed rate of 0.750% per year, which was payable semiannually in arrears on February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and August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 xml:space="preserve">of each year.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2024, the Company used part of the net proceeds from the issuance of the 2029 Notes to repurchase $200.0 million aggregate principal amount of the 2025 Notes in privately negotiated transactions at a discount for $191.4 million in cash (including accrued interest). The partial repurchase of the 2025 Notes resulted in a $7.5 million gain on early extinguishment of debt during the year ended December 31, 2024.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August 1, 2025, the 2025 Notes matured and the Company settled the remaining outstanding principal balance of $202.5 million in cash. Upon the maturity of the 2025 Notes, a nominal gain on extinguishment of debt was recognized due to certain holders having converted their 2025 Notes.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interest expense recognized in the periods presented (dollar amounts in thousands):</w:t>
      </w:r>
    </w:p>
    <w:tbl>
      <w:tblPr>
        <w:tblW w:w="6440" w:type="dxa"/>
        <w:jc w:val="left"/>
        <w:tblInd w:w="0" w:type="dxa"/>
        <w:tblLayout w:type="fixed"/>
        <w:tblCellMar>
          <w:top w:w="28" w:type="dxa"/>
          <w:left w:w="28" w:type="dxa"/>
          <w:bottom w:w="28" w:type="dxa"/>
          <w:right w:w="28" w:type="dxa"/>
        </w:tblCellMar>
      </w:tblPr>
      <w:tblGrid>
        <w:gridCol w:w="1085"/>
        <w:gridCol w:w="954"/>
        <w:gridCol w:w="960"/>
        <w:gridCol w:w="109"/>
        <w:gridCol w:w="109"/>
        <w:gridCol w:w="145"/>
        <w:gridCol w:w="145"/>
        <w:gridCol w:w="281"/>
        <w:gridCol w:w="821"/>
        <w:gridCol w:w="361"/>
        <w:gridCol w:w="109"/>
        <w:gridCol w:w="109"/>
        <w:gridCol w:w="109"/>
        <w:gridCol w:w="211"/>
        <w:gridCol w:w="616"/>
        <w:gridCol w:w="31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299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316" w:type="dxa"/>
            <w:tcBorders>
              <w:right w:val="single" w:sz="8" w:space="0" w:color="FFFFFF"/>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interest (Note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 on total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10—FINANCIAL INSTRUMENTS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be paid to transfer a liability in the principal or most advantageous market in an orderly transaction. To increase consistency and comparability in fair value measurements, the FASB established a three-level hierarchy which requires an entity to maximize the use of observable inputs and minimize the use of unobservable inputs when measuring fair value. The three levels of fair value measurements are: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 xml:space="preserve">Level 1: </w:t>
      </w:r>
      <w:r>
        <w:rPr>
          <w:rFonts w:ascii="Times New Roman;serif" w:hAnsi="Times New Roman;serif"/>
          <w:b w:val="false"/>
          <w:color w:val="000000"/>
          <w:sz w:val="20"/>
        </w:rPr>
        <w:t>Quoted prices (unadjusted) in active markets that are accessible at the measurement date for assets or liabilities. The fair value hierarchy gives the highest priority to Level 1 inputs.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Level 2:</w:t>
      </w:r>
      <w:r>
        <w:rPr>
          <w:color w:val="000000"/>
        </w:rPr>
        <w:t xml:space="preserve"> </w:t>
      </w:r>
      <w:r>
        <w:rPr>
          <w:rFonts w:ascii="Times New Roman;serif" w:hAnsi="Times New Roman;serif"/>
          <w:b w:val="false"/>
          <w:color w:val="000000"/>
          <w:sz w:val="20"/>
        </w:rPr>
        <w:t>Observable prices that are based on inputs not quoted on active markets, but corroborated by market data.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i/>
          <w:color w:val="000000"/>
          <w:sz w:val="20"/>
        </w:rPr>
        <w:t>Level 3:</w:t>
      </w:r>
      <w:r>
        <w:rPr>
          <w:color w:val="000000"/>
        </w:rPr>
        <w:t xml:space="preserve"> </w:t>
      </w:r>
      <w:r>
        <w:rPr>
          <w:rFonts w:ascii="Times New Roman;serif" w:hAnsi="Times New Roman;serif"/>
          <w:b w:val="false"/>
          <w:color w:val="000000"/>
          <w:sz w:val="20"/>
        </w:rPr>
        <w:t>Unobservable inputs that are used when little or no market data is available. The fair value hierarchy gives the lowest priority to Level 3 inputs.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carrying value of financial instruments including cash and cash equivalents, accounts receivable and accounts payable approximate their respective fair values due to the short-term nature of these items. The Revolving Credit Facility reprices within a maximum of three months due to its variable interest rate terms. The fair value of the Company’s Revolving Credit Facility approximates carrying value (Level 2) due to its repricing feature. The fair value of the Company’s convertible senior notes are calculated utilizing market quotations from an over-the-counter trading market for these notes (Level 2). The fair value of the Company’s acquisition-related contingent consideration is reported at fair value on a recurring basis (Level 3). The carrying amount of equity investments and convertible notes receivable without readily determinable fair values are recorded at cost minus impairment, if any, plus or minus observable price changes of identical or similar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16</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March 31, 2026, the carrying values and fair values of the Company’s financial assets and liabilities were as follows (in thousands):</w:t>
      </w:r>
    </w:p>
    <w:tbl>
      <w:tblPr>
        <w:tblW w:w="10205" w:type="dxa"/>
        <w:jc w:val="left"/>
        <w:tblInd w:w="0" w:type="dxa"/>
        <w:tblLayout w:type="fixed"/>
        <w:tblCellMar>
          <w:top w:w="28" w:type="dxa"/>
          <w:left w:w="28" w:type="dxa"/>
          <w:bottom w:w="28" w:type="dxa"/>
          <w:right w:w="28" w:type="dxa"/>
        </w:tblCellMar>
      </w:tblPr>
      <w:tblGrid>
        <w:gridCol w:w="1988"/>
        <w:gridCol w:w="1359"/>
        <w:gridCol w:w="1363"/>
        <w:gridCol w:w="109"/>
        <w:gridCol w:w="109"/>
        <w:gridCol w:w="109"/>
        <w:gridCol w:w="225"/>
        <w:gridCol w:w="885"/>
        <w:gridCol w:w="116"/>
        <w:gridCol w:w="109"/>
        <w:gridCol w:w="109"/>
        <w:gridCol w:w="109"/>
        <w:gridCol w:w="211"/>
        <w:gridCol w:w="406"/>
        <w:gridCol w:w="109"/>
        <w:gridCol w:w="109"/>
        <w:gridCol w:w="109"/>
        <w:gridCol w:w="109"/>
        <w:gridCol w:w="211"/>
        <w:gridCol w:w="826"/>
        <w:gridCol w:w="109"/>
        <w:gridCol w:w="109"/>
        <w:gridCol w:w="109"/>
        <w:gridCol w:w="109"/>
        <w:gridCol w:w="211"/>
        <w:gridCol w:w="721"/>
        <w:gridCol w:w="157"/>
      </w:tblGrid>
      <w:tr>
        <w:trPr/>
        <w:tc>
          <w:tcPr>
            <w:tcW w:w="198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right w:val="single" w:sz="8" w:space="0" w:color="FFFFFF"/>
            </w:tcBorders>
            <w:tcMar>
              <w:left w:w="0" w:type="dxa"/>
              <w:bottom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Measurements Using</w:t>
            </w:r>
          </w:p>
        </w:tc>
      </w:tr>
      <w:tr>
        <w:trPr/>
        <w:tc>
          <w:tcPr>
            <w:tcW w:w="4710"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Assets and Financial Liabilities Measured at Fair Value on a Recurring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Liabilities Measured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2.125% convertible senior notes due 2029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firstLine="450"/>
        <w:jc w:val="left"/>
        <w:rPr>
          <w:rFonts w:ascii="Times New Roman;serif" w:hAnsi="Times New Roman;serif"/>
          <w:b w:val="false"/>
          <w:color w:val="000000"/>
          <w:sz w:val="17"/>
        </w:rPr>
      </w:pPr>
      <w:r>
        <w:rPr>
          <w:rFonts w:ascii="Times New Roman;serif" w:hAnsi="Times New Roman;serif"/>
          <w:b w:val="false"/>
          <w:color w:val="000000"/>
          <w:sz w:val="17"/>
        </w:rPr>
        <w:t>(1) The closing price of the Company’s common stock as reported on the Nasdaq Global Select Market was $22.60 per share on March 31, 2026, compared to a conversion price of $39.56 per share. At March 31, 2026, as the conversion price was above the stock price, the requirements for conversion have not been met.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including assets and liabilities acquired in a business combination and long-lived assets, which would be recognized at fair value if deemed impaired or if reclassified as assets held for sale. The fair value in these instances would be determined using Level 3 inputs.</w:t>
      </w:r>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Financial Assets and Liabilities Measured at Fair Value on a Recurring Basis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Equity and Convertible Note 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holds strategic investments in clinical and preclinical stage privately-held biotechnology companies in the form of equity and convertible note investments. For the equity investments as of March 31, 2026, there have not been any impairments or upward adjustments. The following investments have no readily determinable fair value and are recorded at cost minus impairment, if any, plus or minus observable price changes of identical or similar investments (in thousands):</w:t>
      </w:r>
    </w:p>
    <w:tbl>
      <w:tblPr>
        <w:tblW w:w="10205" w:type="dxa"/>
        <w:jc w:val="left"/>
        <w:tblInd w:w="0" w:type="dxa"/>
        <w:tblLayout w:type="fixed"/>
        <w:tblCellMar>
          <w:top w:w="28" w:type="dxa"/>
          <w:left w:w="28" w:type="dxa"/>
          <w:bottom w:w="28" w:type="dxa"/>
          <w:right w:w="28" w:type="dxa"/>
        </w:tblCellMar>
      </w:tblPr>
      <w:tblGrid>
        <w:gridCol w:w="1624"/>
        <w:gridCol w:w="1426"/>
        <w:gridCol w:w="1431"/>
        <w:gridCol w:w="109"/>
        <w:gridCol w:w="109"/>
        <w:gridCol w:w="109"/>
        <w:gridCol w:w="309"/>
        <w:gridCol w:w="1056"/>
        <w:gridCol w:w="161"/>
        <w:gridCol w:w="109"/>
        <w:gridCol w:w="109"/>
        <w:gridCol w:w="109"/>
        <w:gridCol w:w="431"/>
        <w:gridCol w:w="1474"/>
        <w:gridCol w:w="222"/>
        <w:gridCol w:w="109"/>
        <w:gridCol w:w="109"/>
        <w:gridCol w:w="109"/>
        <w:gridCol w:w="211"/>
        <w:gridCol w:w="721"/>
        <w:gridCol w:w="158"/>
      </w:tblGrid>
      <w:tr>
        <w:trPr/>
        <w:tc>
          <w:tcPr>
            <w:tcW w:w="162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Convertible Notes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11,898 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Realized gain of prior investments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Settled investments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xml:space="preserve">— </w:t>
            </w:r>
            <w:r>
              <w:rPr>
                <w:rFonts w:ascii="Times New Roman;serif" w:hAnsi="Times New Roman;serif"/>
                <w:b w:val="false"/>
                <w:i/>
                <w:color w:val="000000"/>
                <w:sz w:val="20"/>
              </w:rPr>
              <w:t>No activity for the three months ended March 31,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pPr>
      <w:r>
        <w:rPr>
          <w:rFonts w:ascii="Times New Roman;serif" w:hAnsi="Times New Roman;serif"/>
          <w:b w:val="false"/>
          <w:color w:val="000000"/>
          <w:sz w:val="17"/>
        </w:rPr>
        <w:t>(1) In conjunction with the GQ Bio Acquisition, the settlement of the Company’s prior equity investment and notes receivable were part of the fair value of consideration exchanged. Upon acquiring the remaining 81% ownership interest in GQ Bio, the Company remeasured its previously held equity interest to its acquisition-date fair value. The $4.2 million gain resulting from the equity investment was recognized as other, net within the condensed consolidated statement of operations. In settling the notes receivable, the Company recognized $1.7 million in interest income. These gains were included in the condensed consolidated statement of cash flows for three months ended March 31, 2025 within other net (gains) losses</w:t>
      </w:r>
      <w:r>
        <w:rPr>
          <w:rFonts w:ascii="Times New Roman;serif" w:hAnsi="Times New Roman;serif"/>
          <w:b w:val="false"/>
          <w:color w:val="000000"/>
          <w:sz w:val="20"/>
        </w:rPr>
        <w:t xml:space="preserve">.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an impairment of an equity investment and convertible note receivable totaling $11.0 million was recorded in other, net in the condensed consolidated statements of operations.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Company invested $1.3 million in a convertible note receivable related to one of its existing early-stage strategic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17</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Acquisition-Related Contingent Consideration</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recognized contingent consideration liability related to the Flexion Acquisition in the amount of $15.8 million and $18.1 million as of March 31, 2026 and December 31, 2025, respectively.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contingent consideration obligations are recorded at their estimated fair values and are revalued each reporting period if and until the related contingencies are resolved. The Company has measured the fair value of its contingent consideration using a Monte Carlo simulation. These inputs include, as applicable, estimated forecasts of revenue and costs and the discount rates used to calculate the present value of estimated future payments. Significant changes may increase or decrease the probabilities of achieving the related commercial and regulatory events, shorten or lengthen the time required to achieve such events, or increase or decrease estimated forecasts. </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2021, the Company completed the Flexion Acquisition, which provided for contingent consideration related to contingent value rights that were issued to Flexion shareholders and certain equity award holders which could aggregate up to a total of $372.3 million if certain regulatory and commercial milestones are met. The aggregate amount was initially $425.5 million prior to the Company’s September 2022 decision to formally discontinue further development of Flexion’s investigational product candidate, PCRX-301. The Company’s obligation to make milestone payments is limited to those milestones achieved through December 31, 2030, and are to be paid within 60 days of the end of the fiscal quarter of achievement. During the three months ended March 31, 2026, the Company recognized contingent consideration gains of $2.3 million due a reduction in the sales forecast through the milestone expiration date of December 31, 2030 and revisions to the latest discount rates. During the three months ended March 31, 2025, the Company recognized contingent consideration gains of $2.7 million due to revisions to the latest discount rates. These adjustments were recorded within other operating (gains) expenses, net in the condensed consolidated statements of operations. At March 31, 2026, the weighted average discount rate was 8.4%.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key assumptions used in the valuation of the Company’s contingent consideration:</w:t>
      </w:r>
    </w:p>
    <w:tbl>
      <w:tblPr>
        <w:tblW w:w="7016" w:type="dxa"/>
        <w:jc w:val="left"/>
        <w:tblInd w:w="0" w:type="dxa"/>
        <w:tblLayout w:type="fixed"/>
        <w:tblCellMar>
          <w:top w:w="28" w:type="dxa"/>
          <w:left w:w="28" w:type="dxa"/>
          <w:bottom w:w="28" w:type="dxa"/>
          <w:right w:w="28" w:type="dxa"/>
        </w:tblCellMar>
      </w:tblPr>
      <w:tblGrid>
        <w:gridCol w:w="1788"/>
        <w:gridCol w:w="1567"/>
        <w:gridCol w:w="1579"/>
        <w:gridCol w:w="109"/>
        <w:gridCol w:w="109"/>
        <w:gridCol w:w="109"/>
        <w:gridCol w:w="513"/>
        <w:gridCol w:w="513"/>
        <w:gridCol w:w="729"/>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Ranges Utilized as of</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4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 to 8.6%</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Probability of payment for remaining regulatory milestones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change in the Company’s contingent consideration recorded at fair value using Level 3 measurements is as follows (in thousands):</w:t>
      </w:r>
    </w:p>
    <w:tbl>
      <w:tblPr>
        <w:tblW w:w="5755" w:type="dxa"/>
        <w:jc w:val="left"/>
        <w:tblInd w:w="0" w:type="dxa"/>
        <w:tblLayout w:type="fixed"/>
        <w:tblCellMar>
          <w:top w:w="28" w:type="dxa"/>
          <w:left w:w="28" w:type="dxa"/>
          <w:bottom w:w="28" w:type="dxa"/>
          <w:right w:w="28" w:type="dxa"/>
        </w:tblCellMar>
      </w:tblPr>
      <w:tblGrid>
        <w:gridCol w:w="1185"/>
        <w:gridCol w:w="1041"/>
        <w:gridCol w:w="1043"/>
        <w:gridCol w:w="109"/>
        <w:gridCol w:w="109"/>
        <w:gridCol w:w="109"/>
        <w:gridCol w:w="419"/>
        <w:gridCol w:w="1434"/>
        <w:gridCol w:w="306"/>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w:t>
              <w:br/>
              <w:t>Fair Value</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adjustments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 xml:space="preserve">Available-for-Sale </w:t>
      </w:r>
      <w:bookmarkStart w:id="1" w:name="iea53373f03844481a48d1a792b716883_9549"/>
      <w:bookmarkEnd w:id="1"/>
      <w:r>
        <w:rPr>
          <w:rFonts w:ascii="Times New Roman;serif" w:hAnsi="Times New Roman;serif"/>
          <w:b w:val="false"/>
          <w:i/>
          <w:color w:val="000000"/>
          <w:sz w:val="20"/>
        </w:rPr>
        <w:t>Investments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Short-term investments consist of asset-backed securities collateralized by credit card receivables, investment grade commercial paper and corporate, federal agency, government and Yankee bonds with maturities greater than three months, but less than one year. Net unrealized gains and losses (excluding credit losses, if any) from the Company’s short-term investments are reported in other comprehensive income. At March 31, 2026 and December 31, 2025, all of the Company’s short-term investments are classified as available-for-sale investments and are determined to be Level 2 instruments which are measured at fair value using standard industry models with observable inputs, with the exception of U.S. government bonds. The fair value of the commercial paper is measured based on a standard industry model that uses the three-month U.S. Treasury bill rate as an observable input. The fair value of the asset-backed securities and corporate bonds is principally measured or corroborated by trade data for identical issues in which related trading activity is not sufficiently frequent to be considered a Level 1 input or that of comparable securities. The fair value of U.S. government bonds is based on level 1 trading activity. At the time of purchase, all available-for-sale investments had an “A” or better rating by Standard &amp; Poor’s.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18</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available-for-sale investments at March 31, 2026 and December 31, 2025 (in thousands):</w:t>
      </w:r>
    </w:p>
    <w:tbl>
      <w:tblPr>
        <w:tblW w:w="7810" w:type="dxa"/>
        <w:jc w:val="left"/>
        <w:tblInd w:w="0" w:type="dxa"/>
        <w:tblLayout w:type="fixed"/>
        <w:tblCellMar>
          <w:top w:w="28" w:type="dxa"/>
          <w:left w:w="28" w:type="dxa"/>
          <w:bottom w:w="28" w:type="dxa"/>
          <w:right w:w="28" w:type="dxa"/>
        </w:tblCellMar>
      </w:tblPr>
      <w:tblGrid>
        <w:gridCol w:w="831"/>
        <w:gridCol w:w="730"/>
        <w:gridCol w:w="734"/>
        <w:gridCol w:w="109"/>
        <w:gridCol w:w="109"/>
        <w:gridCol w:w="109"/>
        <w:gridCol w:w="211"/>
        <w:gridCol w:w="721"/>
        <w:gridCol w:w="109"/>
        <w:gridCol w:w="109"/>
        <w:gridCol w:w="109"/>
        <w:gridCol w:w="109"/>
        <w:gridCol w:w="341"/>
        <w:gridCol w:w="413"/>
        <w:gridCol w:w="177"/>
        <w:gridCol w:w="109"/>
        <w:gridCol w:w="109"/>
        <w:gridCol w:w="109"/>
        <w:gridCol w:w="282"/>
        <w:gridCol w:w="502"/>
        <w:gridCol w:w="147"/>
        <w:gridCol w:w="109"/>
        <w:gridCol w:w="109"/>
        <w:gridCol w:w="109"/>
        <w:gridCol w:w="109"/>
        <w:gridCol w:w="109"/>
        <w:gridCol w:w="211"/>
        <w:gridCol w:w="72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18"/>
              </w:rPr>
            </w:pPr>
            <w:r>
              <w:rPr>
                <w:rFonts w:ascii="Times New Roman;serif" w:hAnsi="Times New Roman;serif"/>
                <w:b/>
                <w:color w:val="000000"/>
                <w:sz w:val="18"/>
              </w:rPr>
              <w:t>March 31, 2026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(Level 2)</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5"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11"/>
        <w:gridCol w:w="721"/>
        <w:gridCol w:w="109"/>
        <w:gridCol w:w="109"/>
        <w:gridCol w:w="109"/>
        <w:gridCol w:w="109"/>
        <w:gridCol w:w="288"/>
        <w:gridCol w:w="493"/>
        <w:gridCol w:w="150"/>
        <w:gridCol w:w="109"/>
        <w:gridCol w:w="109"/>
        <w:gridCol w:w="109"/>
        <w:gridCol w:w="282"/>
        <w:gridCol w:w="502"/>
        <w:gridCol w:w="147"/>
        <w:gridCol w:w="109"/>
        <w:gridCol w:w="109"/>
        <w:gridCol w:w="109"/>
        <w:gridCol w:w="109"/>
        <w:gridCol w:w="109"/>
        <w:gridCol w:w="211"/>
        <w:gridCol w:w="72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color w:val="000000"/>
                <w:sz w:val="18"/>
              </w:rPr>
            </w:pPr>
            <w:r>
              <w:rPr>
                <w:rFonts w:ascii="Times New Roman;serif" w:hAnsi="Times New Roman;serif"/>
                <w:b/>
                <w:color w:val="000000"/>
                <w:sz w:val="18"/>
              </w:rPr>
              <w:t>December 31, 2025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(Level 2)</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At March 31, 2026, there were no investments available for sale that were materially less than their amortized cost.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elects to recognize its interest receivable separate from its available-for-sale investments. At March 31, 2026 and December 31, 2025, the interest receivable from its available-for-sale investments recognized in prepaid expenses and other current assets was $0.1 million and $0.3 million, respectively.</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primarily of cash and cash equivalents, available-for-sale investments and accounts receivable. The Company maintains its cash and cash equivalents with high-credit quality financial institutions. Such amounts may exceed federally-insured limits.</w:t>
      </w:r>
    </w:p>
    <w:p>
      <w:pPr>
        <w:pStyle w:val="TextBody"/>
        <w:bidi w:val="0"/>
        <w:spacing w:lineRule="auto" w:line="288" w:before="180" w:after="180"/>
        <w:ind w:left="0" w:right="0" w:firstLine="450"/>
        <w:jc w:val="left"/>
        <w:rPr/>
      </w:pPr>
      <w:r>
        <w:rPr>
          <w:color w:val="000000"/>
        </w:rPr>
        <w:t> </w:t>
      </w:r>
      <w:r>
        <w:rPr>
          <w:rFonts w:ascii="Times New Roman;serif" w:hAnsi="Times New Roman;serif"/>
          <w:b w:val="false"/>
          <w:color w:val="000000"/>
          <w:sz w:val="20"/>
        </w:rPr>
        <w:t>As of March 31, 2026, three wholesalers each accounted for over 10% of the Company’s accounts receivable, at 31%, 28% and 18%. At December 31, 2025, three wholesalers each accounted for over 10% of the Company’s accounts receivable, at 32%, 23% and 17%. For additional information regarding the Company’s wholesalers, see Note 2</w:t>
      </w:r>
      <w:r>
        <w:rPr>
          <w:rFonts w:ascii="Times New Roman;serif" w:hAnsi="Times New Roman;serif"/>
          <w:b w:val="false"/>
          <w:i/>
          <w:color w:val="000000"/>
          <w:sz w:val="20"/>
        </w:rPr>
        <w:t>, Summary of Significant Accounting Policies</w:t>
      </w:r>
      <w:r>
        <w:rPr>
          <w:rFonts w:ascii="Times New Roman;serif" w:hAnsi="Times New Roman;serif"/>
          <w:b w:val="false"/>
          <w:color w:val="000000"/>
          <w:sz w:val="20"/>
        </w:rPr>
        <w:t>. EXPAREL and ZILRETTA revenues are primarily derived from major wholesalers and specialty distributors that generally have significant cash resources. The Company performs ongoing credit evaluations of its customers as warranted and generally does not require collateral. Allowances for credit losses on the Company’s accounts receivable are maintained based on historical payment patterns, current and estimated future economic conditions, aging of accounts receivable and its write-off history. As of March 31, 2026 and December 31, 2025, there were $0.8 million and $0.7 million of allowances for credit losses on the Company’s accounts receivable,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19</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11—STOCKHOLDERS’ EQUITY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illustrate the changes in the balances of the Company’s accumulated other comprehensive income for the periods presented (in thousands):</w:t>
      </w:r>
    </w:p>
    <w:tbl>
      <w:tblPr>
        <w:tblW w:w="10205" w:type="dxa"/>
        <w:jc w:val="left"/>
        <w:tblInd w:w="0" w:type="dxa"/>
        <w:tblLayout w:type="fixed"/>
        <w:tblCellMar>
          <w:top w:w="28" w:type="dxa"/>
          <w:left w:w="28" w:type="dxa"/>
          <w:bottom w:w="28" w:type="dxa"/>
          <w:right w:w="28" w:type="dxa"/>
        </w:tblCellMar>
      </w:tblPr>
      <w:tblGrid>
        <w:gridCol w:w="845"/>
        <w:gridCol w:w="743"/>
        <w:gridCol w:w="745"/>
        <w:gridCol w:w="109"/>
        <w:gridCol w:w="109"/>
        <w:gridCol w:w="109"/>
        <w:gridCol w:w="888"/>
        <w:gridCol w:w="1520"/>
        <w:gridCol w:w="461"/>
        <w:gridCol w:w="109"/>
        <w:gridCol w:w="109"/>
        <w:gridCol w:w="109"/>
        <w:gridCol w:w="417"/>
        <w:gridCol w:w="1222"/>
        <w:gridCol w:w="217"/>
        <w:gridCol w:w="109"/>
        <w:gridCol w:w="109"/>
        <w:gridCol w:w="109"/>
        <w:gridCol w:w="464"/>
        <w:gridCol w:w="1357"/>
        <w:gridCol w:w="345"/>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From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Net unrealized loss on investments, net of tax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r>
      <w:tr>
        <w:trPr/>
        <w:tc>
          <w:tcPr>
            <w:tcW w:w="2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7"/>
        <w:gridCol w:w="744"/>
        <w:gridCol w:w="746"/>
        <w:gridCol w:w="109"/>
        <w:gridCol w:w="109"/>
        <w:gridCol w:w="109"/>
        <w:gridCol w:w="768"/>
        <w:gridCol w:w="1698"/>
        <w:gridCol w:w="400"/>
        <w:gridCol w:w="109"/>
        <w:gridCol w:w="109"/>
        <w:gridCol w:w="109"/>
        <w:gridCol w:w="416"/>
        <w:gridCol w:w="1221"/>
        <w:gridCol w:w="217"/>
        <w:gridCol w:w="109"/>
        <w:gridCol w:w="109"/>
        <w:gridCol w:w="109"/>
        <w:gridCol w:w="463"/>
        <w:gridCol w:w="1357"/>
        <w:gridCol w:w="347"/>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Unrealized Gain (Loss) From Available-For-Sale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Net unrealized loss on investments, net of tax</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3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 xml:space="preserve">(1) Net of a nominal tax benefit for both the three months ended March 31, 2026 and 2025, respectively. </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17, 2025, the Company announced that its board of directors approved a share repurchase program which authorizes the Company to repurchase up to an aggregate of $300.0 million of its outstanding common stock. Repurchases under this program may be made at management’s discretion on the open market or through privately negotiated transactions, including plans that comply with Rule 10b5-1 under the Securities Exchange Act of 1934, as amended. The share repurchase program may be suspended or discontinued at any time by the Company and has an expiration date of December 31, 2026. During the three months ended March 31, 2026, the Company repurchased 2,244,553 shares of its common stock through open market transactions for $50.4 million which included less than $0.1 million of broker fees and $0.4 million of accrued excise tax. As of March 31, 2026, $100.0 million remains available for future repurchases under this authorization.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Repurchases of the Company’s common stock are accounted for at cost and recorded as treasury stock. The broker fees incurred and excise tax on repurchases of the Company’s common stock are recorded as a cost of acquiring treasury stock. Any reissued treasury stock will be accounted for at average cost. Gains or losses on reissued treasury stock arising from the difference between the average cost and the fair value of the award will be recorded in additional paid-in capital.</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the Company’s share repurchase plan, during the three months ended March 31, 2026, the Company withheld 210,148 shares of common stock to cover employee tax withholding obligations of $4.4 million for vested restricted stock units. All shares of common stock withheld to cover employee tax withholding obligations are retired and are done so pursuant to the terms of the Company’s stock incentive plans and related equity grant agreements rather than the Company’s share repurchase program. Retired shares of common stock are not available for future issuance under the Company’s stock incentive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20</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12—STOCK PLANS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Stock Incentive Plans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Pacira BioSciences, Inc. Amended and Restated 2011 Stock Incentive Plan, or 2011 Plan, was originally adopted by the Company’s board of directors and approved by its stockholders in June 2011 and was amended and restated in June 2014, June 2016, June 2019, June 2021, June 2023 and June 2025. The 2011 Plan allows for the granting of incentive stock options, non-statutory stock options, restricted stock units, and other stock-based awards—including PSUs.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Pacira BioSciences, Inc. Amended and Restated 2014 Inducement Plan, or as amended and restated to date, the A&amp;R Inducement Plan, was originally approved and adopted by the Company’s board of directors in April 2014, pursuant to which awards could be made to new employees as a material inducement to such persons entering into employment with the Company. The A&amp;R Inducement Plan was amended and restated in December 2023, September 2024, January 2025 and January 2026. The January 2026 amendment and restatement added an additional 750,000 shares of the Company’s common stock to bring the total amount of shares reserved for issuance under the A&amp;R Inducement Plan to 3,060,000, of which 703,530 shares remained available for issuance as of March 31, 2026, and extended the term of the A&amp;R Inducement Plan such that it will now expire on January 1, 2036. The A&amp;R Inducement Plan allows for the granting of nonstatutory stock options, restricted stock awards and other stock-based awards.</w:t>
      </w:r>
    </w:p>
    <w:p>
      <w:pPr>
        <w:pStyle w:val="TextBody"/>
        <w:bidi w:val="0"/>
        <w:spacing w:lineRule="auto" w:line="288" w:before="18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A&amp;R Inducement Plan was adopted by the board of directors without stockholder approval pursuant to Rule 5635(c)(4) of the Nasdaq Listing Rules. In accordance with this rule, awards under the A&amp;R Inducement Plan may only be made to an employee who has not previously been an employee or member of the board of directors or the board of directors or any parent or subsidiary, or following a bona fide period of non-employment by the Company or a parent or subsidiary, if they are granted such award in connection with their commencement of employment with the Company or a subsidiary and such grant is an inducement material to their entering into employment with the Company or such subsidiary.</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Inducement Awards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From time to time, the board of directors, upon recommendation of the People and Compensation Committee of the board of directors, has approved individually negotiated grants of options and restricted stock units for certain of the Company’s officers in connection with their respective appointments, in each case, pursuant to the inducement plan in effect at such time.</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in the periods presented as follows (in thousands):</w:t>
      </w:r>
    </w:p>
    <w:tbl>
      <w:tblPr>
        <w:tblW w:w="7212" w:type="dxa"/>
        <w:jc w:val="left"/>
        <w:tblInd w:w="0" w:type="dxa"/>
        <w:tblLayout w:type="fixed"/>
        <w:tblCellMar>
          <w:top w:w="28" w:type="dxa"/>
          <w:left w:w="28" w:type="dxa"/>
          <w:bottom w:w="28" w:type="dxa"/>
          <w:right w:w="28" w:type="dxa"/>
        </w:tblCellMar>
      </w:tblPr>
      <w:tblGrid>
        <w:gridCol w:w="1347"/>
        <w:gridCol w:w="1182"/>
        <w:gridCol w:w="1191"/>
        <w:gridCol w:w="109"/>
        <w:gridCol w:w="109"/>
        <w:gridCol w:w="109"/>
        <w:gridCol w:w="129"/>
        <w:gridCol w:w="129"/>
        <w:gridCol w:w="129"/>
        <w:gridCol w:w="129"/>
        <w:gridCol w:w="250"/>
        <w:gridCol w:w="857"/>
        <w:gridCol w:w="129"/>
        <w:gridCol w:w="109"/>
        <w:gridCol w:w="109"/>
        <w:gridCol w:w="109"/>
        <w:gridCol w:w="211"/>
        <w:gridCol w:w="721"/>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share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21</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Equity Awards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contain information about the Company’s stock option, RSU and PSU activity for the three months ended March 31, 2026:</w:t>
      </w:r>
    </w:p>
    <w:tbl>
      <w:tblPr>
        <w:tblW w:w="9429" w:type="dxa"/>
        <w:jc w:val="left"/>
        <w:tblInd w:w="0" w:type="dxa"/>
        <w:tblLayout w:type="fixed"/>
        <w:tblCellMar>
          <w:top w:w="28" w:type="dxa"/>
          <w:left w:w="28" w:type="dxa"/>
          <w:bottom w:w="28" w:type="dxa"/>
          <w:right w:w="28" w:type="dxa"/>
        </w:tblCellMar>
      </w:tblPr>
      <w:tblGrid>
        <w:gridCol w:w="1082"/>
        <w:gridCol w:w="953"/>
        <w:gridCol w:w="965"/>
        <w:gridCol w:w="109"/>
        <w:gridCol w:w="109"/>
        <w:gridCol w:w="109"/>
        <w:gridCol w:w="714"/>
        <w:gridCol w:w="714"/>
        <w:gridCol w:w="717"/>
        <w:gridCol w:w="109"/>
        <w:gridCol w:w="109"/>
        <w:gridCol w:w="109"/>
        <w:gridCol w:w="780"/>
        <w:gridCol w:w="2280"/>
        <w:gridCol w:w="570"/>
      </w:tblGrid>
      <w:tr>
        <w:trPr/>
        <w:tc>
          <w:tcPr>
            <w:tcW w:w="108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Weighted Average Exercise Price (Per Share)</w:t>
            </w:r>
          </w:p>
        </w:tc>
      </w:tr>
      <w:tr>
        <w:trPr/>
        <w:tc>
          <w:tcPr>
            <w:tcW w:w="3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6,374,481 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40.65 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113,691 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(38,254)</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(167,592)</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44.38 </w:t>
            </w:r>
          </w:p>
        </w:tc>
        <w:tc>
          <w:tcPr>
            <w:tcW w:w="5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Outstanding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6,282,144 </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3"/>
        <w:gridCol w:w="830"/>
        <w:gridCol w:w="840"/>
        <w:gridCol w:w="109"/>
        <w:gridCol w:w="109"/>
        <w:gridCol w:w="109"/>
        <w:gridCol w:w="488"/>
        <w:gridCol w:w="488"/>
        <w:gridCol w:w="333"/>
        <w:gridCol w:w="109"/>
        <w:gridCol w:w="109"/>
        <w:gridCol w:w="109"/>
        <w:gridCol w:w="413"/>
        <w:gridCol w:w="413"/>
        <w:gridCol w:w="361"/>
        <w:gridCol w:w="109"/>
        <w:gridCol w:w="109"/>
        <w:gridCol w:w="109"/>
        <w:gridCol w:w="884"/>
        <w:gridCol w:w="2582"/>
        <w:gridCol w:w="649"/>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Weighted Average Grant Date Fair Value (Per Share)</w:t>
            </w:r>
          </w:p>
        </w:tc>
      </w:tr>
      <w:tr>
        <w:trPr/>
        <w:tc>
          <w:tcPr>
            <w:tcW w:w="2613"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Awards</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w:t>
              <w:br/>
              <w:t>Share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4,160,697 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2,133,578 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202,112 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(647,390)</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(182,266)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5,464,619 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202,112 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weighted average fair value of stock options granted during the three months ended March 31, 2026 was $11.53 per share. The fair values of stock options granted were estimated using the Black-Scholes option valuation model with the following weighted average assumptions:</w:t>
      </w:r>
    </w:p>
    <w:tbl>
      <w:tblPr>
        <w:tblW w:w="6986" w:type="dxa"/>
        <w:jc w:val="center"/>
        <w:tblInd w:w="0" w:type="dxa"/>
        <w:tblLayout w:type="fixed"/>
        <w:tblCellMar>
          <w:top w:w="28" w:type="dxa"/>
          <w:left w:w="28" w:type="dxa"/>
          <w:bottom w:w="28" w:type="dxa"/>
          <w:right w:w="28" w:type="dxa"/>
        </w:tblCellMar>
      </w:tblPr>
      <w:tblGrid>
        <w:gridCol w:w="1316"/>
        <w:gridCol w:w="1154"/>
        <w:gridCol w:w="1160"/>
        <w:gridCol w:w="109"/>
        <w:gridCol w:w="109"/>
        <w:gridCol w:w="109"/>
        <w:gridCol w:w="887"/>
        <w:gridCol w:w="887"/>
        <w:gridCol w:w="1255"/>
      </w:tblGrid>
      <w:tr>
        <w:trPr/>
        <w:tc>
          <w:tcPr>
            <w:tcW w:w="131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Black-Scholes Weighted Average Assumption</w:t>
            </w:r>
          </w:p>
        </w:tc>
        <w:tc>
          <w:tcPr>
            <w:tcW w:w="327"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57.2%</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 years</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The Company’s Amended and Restated 2014 Employee Stock Purchase Plan, or ESPP, features two six-month offering periods per year, running from January 1</w:t>
      </w:r>
      <w:r>
        <w:rPr>
          <w:color w:val="000000"/>
        </w:rPr>
        <w:t xml:space="preserve"> </w:t>
      </w:r>
      <w:r>
        <w:rPr>
          <w:rFonts w:ascii="Times New Roman;serif" w:hAnsi="Times New Roman;serif"/>
          <w:b w:val="false"/>
          <w:color w:val="000000"/>
          <w:sz w:val="20"/>
        </w:rPr>
        <w:t>to June 30 and July 1 to December 31. Under the ESPP, employees may elect to contribute after-tax earnings to purchase shares at 85% of the closing fair market value of the Company’s common stock on either the offering date or the purchase date, whichever is lesser. During the three months ended March 31, 2026, no shares were purchased and issued through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22</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NOTE 13—NET INCOME PER COMMON SHARE</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Basic net income per common share is calculated by dividing the net income attributable to common shares by the weighted average number of common shares outstanding during the period. Diluted net income per common share is calculated by dividing the net income attributable to common shares by the weighted average number of common shares outstanding plus dilutive potential common shares outstanding during the period.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Potential common shares include the shares of common stock issuable upon the exercise of outstanding stock options, the vesting of RSUs and PSUs and the purchase of shares from the ESPP (using the treasury stock method), if applicable. Potential common shares associated with convertible senior notes are treated under the if-converted method. Adjustments are made to the diluted net income per common share calculation as if the Company had converted the convertible senior notes on the first day of each period presented. Adjustments to the numerator are made to add back the interest expense associated with the convertible senior notes on a post-tax basis. Adjustments to the denominator reflect the number of shares assumed to be convertible at the beginning of the period.</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Potential common shares are excluded from the diluted net income per common share computation to the extent they would be antidilutive. </w:t>
      </w:r>
    </w:p>
    <w:p>
      <w:pPr>
        <w:pStyle w:val="TextBody"/>
        <w:bidi w:val="0"/>
        <w:spacing w:lineRule="auto" w:line="288" w:before="0" w:after="180"/>
        <w:ind w:left="0" w:right="0" w:firstLine="450"/>
        <w:jc w:val="left"/>
        <w:rPr/>
      </w:pPr>
      <w:r>
        <w:rPr>
          <w:rFonts w:ascii="Times New Roman;serif" w:hAnsi="Times New Roman;serif"/>
          <w:b w:val="false"/>
          <w:color w:val="000000"/>
          <w:sz w:val="20"/>
          <w:shd w:fill="FFFFFF" w:val="clear"/>
        </w:rPr>
        <w:t xml:space="preserve">The following table sets forth the computation of basic and diluted </w:t>
      </w:r>
      <w:r>
        <w:rPr>
          <w:rFonts w:ascii="Times New Roman;serif" w:hAnsi="Times New Roman;serif"/>
          <w:b w:val="false"/>
          <w:color w:val="000000"/>
          <w:sz w:val="20"/>
        </w:rPr>
        <w:t>net income</w:t>
      </w:r>
      <w:r>
        <w:rPr>
          <w:color w:val="000000"/>
          <w:shd w:fill="FFFFFF" w:val="clear"/>
        </w:rPr>
        <w:t xml:space="preserve"> </w:t>
      </w:r>
      <w:r>
        <w:rPr>
          <w:rFonts w:ascii="Times New Roman;serif" w:hAnsi="Times New Roman;serif"/>
          <w:b w:val="false"/>
          <w:color w:val="000000"/>
          <w:sz w:val="20"/>
          <w:shd w:fill="FFFFFF" w:val="clear"/>
        </w:rPr>
        <w:t>per common share for the three mon</w:t>
      </w:r>
      <w:r>
        <w:rPr>
          <w:rFonts w:ascii="Times New Roman;serif" w:hAnsi="Times New Roman;serif"/>
          <w:b w:val="false"/>
          <w:color w:val="000000"/>
          <w:sz w:val="20"/>
        </w:rPr>
        <w:t>ths ended March 31, 2026 and 2025 (in thousands, except per common share amounts):</w:t>
      </w:r>
    </w:p>
    <w:tbl>
      <w:tblPr>
        <w:tblW w:w="8139" w:type="dxa"/>
        <w:jc w:val="left"/>
        <w:tblInd w:w="0" w:type="dxa"/>
        <w:tblLayout w:type="fixed"/>
        <w:tblCellMar>
          <w:top w:w="28" w:type="dxa"/>
          <w:left w:w="28" w:type="dxa"/>
          <w:bottom w:w="28" w:type="dxa"/>
          <w:right w:w="28" w:type="dxa"/>
        </w:tblCellMar>
      </w:tblPr>
      <w:tblGrid>
        <w:gridCol w:w="1758"/>
        <w:gridCol w:w="1545"/>
        <w:gridCol w:w="1557"/>
        <w:gridCol w:w="109"/>
        <w:gridCol w:w="109"/>
        <w:gridCol w:w="165"/>
        <w:gridCol w:w="165"/>
        <w:gridCol w:w="321"/>
        <w:gridCol w:w="937"/>
        <w:gridCol w:w="165"/>
        <w:gridCol w:w="109"/>
        <w:gridCol w:w="109"/>
        <w:gridCol w:w="109"/>
        <w:gridCol w:w="211"/>
        <w:gridCol w:w="616"/>
        <w:gridCol w:w="154"/>
      </w:tblGrid>
      <w:tr>
        <w:trPr/>
        <w:tc>
          <w:tcPr>
            <w:tcW w:w="1758"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 average common shares outstanding—basic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diluted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Dilutive effect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Dilutive effect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 share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Weighted average common shares outstanding—diluted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Basic and diluted net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stock options, RSUs, ESPP share options and convertible senior notes that were excluded from the diluted net income per common share calculation because the effects of including these potential shares were antidilutive in the periods presented (in thousands):</w:t>
      </w:r>
    </w:p>
    <w:tbl>
      <w:tblPr>
        <w:tblW w:w="6831" w:type="dxa"/>
        <w:jc w:val="left"/>
        <w:tblInd w:w="0" w:type="dxa"/>
        <w:tblLayout w:type="fixed"/>
        <w:tblCellMar>
          <w:top w:w="28" w:type="dxa"/>
          <w:left w:w="28" w:type="dxa"/>
          <w:bottom w:w="28" w:type="dxa"/>
          <w:right w:w="28" w:type="dxa"/>
        </w:tblCellMar>
      </w:tblPr>
      <w:tblGrid>
        <w:gridCol w:w="1305"/>
        <w:gridCol w:w="1143"/>
        <w:gridCol w:w="1151"/>
        <w:gridCol w:w="109"/>
        <w:gridCol w:w="109"/>
        <w:gridCol w:w="350"/>
        <w:gridCol w:w="350"/>
        <w:gridCol w:w="350"/>
        <w:gridCol w:w="350"/>
        <w:gridCol w:w="353"/>
        <w:gridCol w:w="109"/>
        <w:gridCol w:w="109"/>
        <w:gridCol w:w="109"/>
        <w:gridCol w:w="360"/>
        <w:gridCol w:w="361"/>
        <w:gridCol w:w="213"/>
      </w:tblGrid>
      <w:tr>
        <w:trPr/>
        <w:tc>
          <w:tcPr>
            <w:tcW w:w="130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261" w:type="dxa"/>
            <w:gridSpan w:val="6"/>
            <w:tcBorders/>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ESPP share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8,183 </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11,861 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7"/>
        </w:rPr>
      </w:pPr>
      <w:r>
        <w:rPr>
          <w:rFonts w:ascii="Times New Roman;serif" w:hAnsi="Times New Roman;serif"/>
          <w:b w:val="false"/>
          <w:color w:val="000000"/>
          <w:sz w:val="17"/>
        </w:rPr>
        <w:t>The table above does not include contingent shares associated with the 2029 Notes being convertible at a premium nor does it include PSUs as their performance targets have not yet been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23</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14—INCOME TAXES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income tax expense are as follows (dollar amounts in thousands):</w:t>
      </w:r>
    </w:p>
    <w:tbl>
      <w:tblPr>
        <w:tblW w:w="6410" w:type="dxa"/>
        <w:jc w:val="left"/>
        <w:tblInd w:w="0" w:type="dxa"/>
        <w:tblLayout w:type="fixed"/>
        <w:tblCellMar>
          <w:top w:w="28" w:type="dxa"/>
          <w:left w:w="28" w:type="dxa"/>
          <w:bottom w:w="28" w:type="dxa"/>
          <w:right w:w="28" w:type="dxa"/>
        </w:tblCellMar>
      </w:tblPr>
      <w:tblGrid>
        <w:gridCol w:w="1037"/>
        <w:gridCol w:w="909"/>
        <w:gridCol w:w="918"/>
        <w:gridCol w:w="109"/>
        <w:gridCol w:w="109"/>
        <w:gridCol w:w="145"/>
        <w:gridCol w:w="145"/>
        <w:gridCol w:w="281"/>
        <w:gridCol w:w="821"/>
        <w:gridCol w:w="361"/>
        <w:gridCol w:w="109"/>
        <w:gridCol w:w="109"/>
        <w:gridCol w:w="109"/>
        <w:gridCol w:w="211"/>
        <w:gridCol w:w="721"/>
        <w:gridCol w:w="316"/>
      </w:tblGrid>
      <w:tr>
        <w:trPr/>
        <w:tc>
          <w:tcPr>
            <w:tcW w:w="103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75" w:type="dxa"/>
            <w:gridSpan w:val="6"/>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Domestic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pPr>
      <w:r>
        <w:rPr>
          <w:rFonts w:ascii="Times New Roman;serif" w:hAnsi="Times New Roman;serif"/>
          <w:b w:val="false"/>
          <w:color w:val="000000"/>
          <w:sz w:val="20"/>
        </w:rPr>
        <w:t>The Company’s income tax expense represents the estimated annual effective tax rate applied to the year-to-date operating re</w:t>
      </w:r>
      <w:r>
        <w:rPr>
          <w:rFonts w:ascii="Times New Roman;serif" w:hAnsi="Times New Roman;serif"/>
          <w:b w:val="false"/>
          <w:color w:val="212529"/>
          <w:sz w:val="20"/>
        </w:rPr>
        <w:t>sults, adjusted for certain discrete tax items.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March 31, 2026 was primarily impacted by costs related to non-deductible stock-based compensation and non-deductible executive compensation, partially offset by tax credits.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months ended March 31, 2025 was primarily impacted by costs related to non-deductible stock-based compensation, non-deductible executive compensation and a non-U.S. valuation allowance, partially offset by tax credits.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both March 31, 2026 and December 31, 2025, the Company had an income taxes payable balance of $6.1 million that was included in other liabilities within the condensed consolidated balance sheet, related to unrecognized tax benefits. As of both March 31, 2026 and December 31, 2025, the Company had less than $0.1 million of current income taxes payable that was included in accrued expenses within the condensed consolidated balance sheet.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income taxes receivable and prepaid income taxes of $7.9 million and $8.2 million, respectively, which were included in prepaid expenses and other current assets within the condensed consolidated balance sheet. The balances include a $4.6 million tax refund claim for estimated federal taxes made prior to the July 2025 enactment of federal legislation known as the One Big Beautiful Bill Act (the “OBBBA”).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U.S. Tax Reform</w:t>
      </w:r>
    </w:p>
    <w:p>
      <w:pPr>
        <w:pStyle w:val="TextBody"/>
        <w:bidi w:val="0"/>
        <w:spacing w:lineRule="auto" w:line="288" w:before="120" w:after="283"/>
        <w:ind w:left="0" w:right="0" w:firstLine="450"/>
        <w:jc w:val="left"/>
        <w:rPr/>
      </w:pPr>
      <w:r>
        <w:rPr>
          <w:rFonts w:ascii="Times New Roman;serif" w:hAnsi="Times New Roman;serif"/>
          <w:b w:val="false"/>
          <w:color w:val="000000"/>
          <w:sz w:val="20"/>
        </w:rPr>
        <w:t xml:space="preserve">The OBBBA resulted in changes to U.S. federal income tax law. Significant provisions of the OBBBA include the permanent extension of certain provisions of the 2017 Tax Cuts and Jobs Act, modifications to the international tax framework and the restoration of favorable tax treatment for certain business provisions. In accordance with ASC 740, </w:t>
      </w:r>
      <w:r>
        <w:rPr>
          <w:rFonts w:ascii="Times New Roman;serif" w:hAnsi="Times New Roman;serif"/>
          <w:b w:val="false"/>
          <w:i/>
          <w:color w:val="000000"/>
          <w:sz w:val="20"/>
        </w:rPr>
        <w:t>Income Taxes</w:t>
      </w:r>
      <w:r>
        <w:rPr>
          <w:rFonts w:ascii="Times New Roman;serif" w:hAnsi="Times New Roman;serif"/>
          <w:b w:val="false"/>
          <w:color w:val="000000"/>
          <w:sz w:val="20"/>
        </w:rPr>
        <w:t>, the Company was required to recognize the effect of the tax law changes in the period of enactment, such as remeasuring its estimated U.S. deferred tax assets and liabilities. The Company had $124.6 million of a gross deferred tax asset attributed to unamortized U.S. capitalized research and development costs as of December 31, 2024, of which $62.3 million will be deductible on both its 2025 and 2026 income tax returns. There are no other material impacts to the Company related to the enactment of the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24</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15—OTHER OPERATING (GAINS) EXPENSES,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Other operating (gains) expenses, net for the three months ended March 31, 2026 and 2025 are summarized below (in thousands):</w:t>
      </w:r>
    </w:p>
    <w:tbl>
      <w:tblPr>
        <w:tblW w:w="6924" w:type="dxa"/>
        <w:jc w:val="left"/>
        <w:tblInd w:w="0" w:type="dxa"/>
        <w:tblLayout w:type="fixed"/>
        <w:tblCellMar>
          <w:top w:w="28" w:type="dxa"/>
          <w:left w:w="28" w:type="dxa"/>
          <w:bottom w:w="28" w:type="dxa"/>
          <w:right w:w="28" w:type="dxa"/>
        </w:tblCellMar>
      </w:tblPr>
      <w:tblGrid>
        <w:gridCol w:w="1294"/>
        <w:gridCol w:w="1137"/>
        <w:gridCol w:w="1139"/>
        <w:gridCol w:w="109"/>
        <w:gridCol w:w="109"/>
        <w:gridCol w:w="155"/>
        <w:gridCol w:w="155"/>
        <w:gridCol w:w="301"/>
        <w:gridCol w:w="987"/>
        <w:gridCol w:w="155"/>
        <w:gridCol w:w="109"/>
        <w:gridCol w:w="109"/>
        <w:gridCol w:w="109"/>
        <w:gridCol w:w="211"/>
        <w:gridCol w:w="691"/>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(gains)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Flexion Acquisition Contingent Consideration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Company recognized contingent consideration gains of $2.3 million and $2.7 million during the three months ended March 31, 2026 and 2025, respectively, due to a decrease in the fair value of its contingent consideration liability related to the Flexion Acquisition. See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information regarding the method and key assumptions used in the fair value measurements of contingent consideration and more information regarding the changes in fair value.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Acquisition-Related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acquisition-related expenses of $1.5 million during the three months ended March 31, 2025 primarily related to third-party services and legal fees associated with the GQ Bio Acquisition. </w:t>
      </w:r>
    </w:p>
    <w:p>
      <w:pPr>
        <w:pStyle w:val="TextBody"/>
        <w:bidi w:val="0"/>
        <w:spacing w:lineRule="auto" w:line="288" w:before="180" w:after="283"/>
        <w:jc w:val="left"/>
        <w:rPr>
          <w:rFonts w:ascii="Times New Roman;serif" w:hAnsi="Times New Roman;serif"/>
          <w:b w:val="false"/>
          <w:i/>
          <w:color w:val="212529"/>
          <w:sz w:val="20"/>
        </w:rPr>
      </w:pPr>
      <w:r>
        <w:rPr>
          <w:rFonts w:ascii="Times New Roman;serif" w:hAnsi="Times New Roman;serif"/>
          <w:b w:val="false"/>
          <w:i/>
          <w:color w:val="212529"/>
          <w:sz w:val="20"/>
        </w:rPr>
        <w:t>Legal Settlement</w:t>
      </w:r>
    </w:p>
    <w:p>
      <w:pPr>
        <w:pStyle w:val="TextBody"/>
        <w:bidi w:val="0"/>
        <w:spacing w:lineRule="auto" w:line="288" w:before="180" w:after="283"/>
        <w:ind w:left="0" w:right="0" w:firstLine="450"/>
        <w:jc w:val="left"/>
        <w:rPr/>
      </w:pPr>
      <w:r>
        <w:rPr>
          <w:rFonts w:ascii="Times New Roman;serif" w:hAnsi="Times New Roman;serif"/>
          <w:b w:val="false"/>
          <w:color w:val="212529"/>
          <w:sz w:val="20"/>
        </w:rPr>
        <w:t xml:space="preserve">The Company recognized </w:t>
      </w:r>
      <w:r>
        <w:rPr>
          <w:rFonts w:ascii="Times New Roman;serif" w:hAnsi="Times New Roman;serif"/>
          <w:b w:val="false"/>
          <w:color w:val="000000"/>
          <w:sz w:val="20"/>
        </w:rPr>
        <w:t>$7.0 million</w:t>
      </w:r>
      <w:r>
        <w:rPr>
          <w:color w:val="212529"/>
        </w:rPr>
        <w:t xml:space="preserve"> </w:t>
      </w:r>
      <w:r>
        <w:rPr>
          <w:rFonts w:ascii="Times New Roman;serif" w:hAnsi="Times New Roman;serif"/>
          <w:b w:val="false"/>
          <w:color w:val="212529"/>
          <w:sz w:val="20"/>
        </w:rPr>
        <w:t xml:space="preserve">of costs during the </w:t>
      </w:r>
      <w:r>
        <w:rPr>
          <w:rFonts w:ascii="Times New Roman;serif" w:hAnsi="Times New Roman;serif"/>
          <w:b w:val="false"/>
          <w:color w:val="000000"/>
          <w:sz w:val="20"/>
        </w:rPr>
        <w:t>three months ended</w:t>
      </w:r>
      <w:r>
        <w:rPr>
          <w:color w:val="212529"/>
        </w:rPr>
        <w:t xml:space="preserve"> </w:t>
      </w:r>
      <w:r>
        <w:rPr>
          <w:rFonts w:ascii="Times New Roman;serif" w:hAnsi="Times New Roman;serif"/>
          <w:b w:val="false"/>
          <w:color w:val="000000"/>
          <w:sz w:val="20"/>
        </w:rPr>
        <w:t>March 31, 2025</w:t>
      </w:r>
      <w:r>
        <w:rPr>
          <w:color w:val="212529"/>
        </w:rPr>
        <w:t xml:space="preserve"> </w:t>
      </w:r>
      <w:r>
        <w:rPr>
          <w:rFonts w:ascii="Times New Roman;serif" w:hAnsi="Times New Roman;serif"/>
          <w:b w:val="false"/>
          <w:color w:val="000000"/>
          <w:sz w:val="20"/>
        </w:rPr>
        <w:t xml:space="preserve">related to the patent infringement suits against the eVenus ANDA Filers (as defined below). For more information, see Note 16, </w:t>
      </w:r>
      <w:r>
        <w:rPr>
          <w:rFonts w:ascii="Times New Roman;serif" w:hAnsi="Times New Roman;serif"/>
          <w:b w:val="false"/>
          <w:i/>
          <w:color w:val="000000"/>
          <w:sz w:val="20"/>
        </w:rPr>
        <w:t>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16—COMMITMENTS AND CONTINGENCIES</w:t>
      </w:r>
    </w:p>
    <w:p>
      <w:pPr>
        <w:pStyle w:val="TextBody"/>
        <w:bidi w:val="0"/>
        <w:spacing w:lineRule="auto" w:line="288" w:before="180" w:after="14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80" w:after="18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has been and may again become involved in legal proceedings arising in the ordinary course of its business, including those related to its patents and intellectual property, product liability and government investigations. Except as described below, the Company is not presently a party to any legal proceedings that it believes to be material, and is not aware of any pending or threatened litigation against the Company which it believes could have a material adverse effect on its business, operating results, financial condition or cash flows. The Company is not in a position to assess the likelihood of any potential losses or adverse effect on its financial condition or to estimate the amount or range of potential losses, if any, from the following actions at this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MyoScience Milestone Litigation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August 2020, the Company and its subsidiary, Pacira CryoTech, Inc. (“Pacira CryoTech”), filed a lawsuit in the Court of Chancery of the State of Delaware against Fortis Advisors LLC (“Fortis”), solely in its capacity as representative for the former securityholders of MyoScience and certain other defendants, seeking declaratory judgment with respect to certain terms of the merger agreement for the MyoScience Acquisition (the “MyoScience Merger Agreement”), specifically related to the achievement of certain milestone payments under the MyoScience Merger Agreement. In October 2020, Fortis filed an answer and counterclaim against the Company and Pacira CryoTech seeking to recover certain milestone payments under the MyoScience Merger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 trial was conducted in September 2023. In January 2025, the Court issued its decision, finding that the disputed milestones were not met and therefore granted judgment to the Company in full. In March 2025, the Company filed a motion to recover attorney fees, and the parties subsequently agreed to settle the amount of expenses owed to the Company, whereby Fortis agreed to pay the Company $5.2 million and waived its rights to appeal the decision. A final judgment and order was entered in April 2025. The $5.2 million payment received was accounted for as a recovery of losses and recorded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25</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 the three months ended March 31, 2025 within the condensed consolidated statement of operations, consistent with where the previous expenses were recorded.</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eVenus Pharmaceutical Laboratories Litigations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October 2021, December 2021, April 2023 and May 2024, the Company received Notice Letters advising that eVenus Pharmaceutical Laboratories, Inc., or eVenus, of Princeton, New Jersey, submitted to the United States Food and Drug Administration, or FDA, an Abbreviated New Drug Application, or ANDA, with a Paragraph IV certification seeking authorization for the manufacturing and marketing of a generic bupivacaine liposome injectable suspension in the U.S. prior to the expiration of certain of the Company’s U.S. patents.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Beginning in November 2021, the Company filed various patent infringement suits against eVenus, its parent company (Jiangsu Hengrui Pharmaceuticals, Co. Ltd., or Jiangsu Hengrui) and Fresenius Kabi USA, LLC, or Fresenius, (together, the “eVenus ANDA Filers”) in the U.S. District Court for the District of New Jersey asserting infringement of U.S. Patent No. 11,033,495 (the ‘495 patent) (21-cv-19829), U.S. Patent No. 11,179,336 (the ‘336 patent) (22-cv-00718), U.S. Patent No. 11,426,348 (the ‘348 patent) (23-cv-02367), U.S. Patent Nos. 11,819,574 (the ‘574 patent) and 11,819,575 (the ‘575 patent) (24-cv-06294), and U.S. Patent No. 11,925,706 (the ‘706 patent) (24-cv-07680). In December 2024, the Company filed a patent infringement suit against Fresenius and Jiangsu Hengrui in the Northern District of Illinois (24-cv-12416) asserting that the ANDA products will infringe U.S. Patent No. 12,156,940 (the ‘940 patent). Also in December 2024, the eVenus ANDA Filers filed an action for declaratory judgment of non-infringement and invalidity with respect to the ‘940 patent in the District Court of New Jersey (24-cv-11014).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April 7, 2025, the Company, along with its operating subsidiary, Pacira Pharmaceuticals, Inc., entered into a settlement agreement with the eVenus ANDA Filers with respect to the litigations noted above. Pursuant to the settlement agreement, the eVenus ANDA Filers will be enjoined from marketing a generic bupivacaine liposome injectable suspension before the expiration of the patents-in-suit, except as provided for in the settlement agreement, as described below. In settlement of all outstanding claims in the litigations, the Company agreed to provide the eVenus ANDA Filers with a license to the Company’s patents required to manufacture and sell certain volume-limited amounts of a generic bupivacaine liposome injectable suspension in the U.S. beginning on a confidential date that is sometime in early 2030. While the agreed-upon volume-limited percentages are confidential, they begin at a high 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 In addition, the Company has agreed to provide the eVenus ANDA Filers with a license to its patents required to manufacture and sell an unlimited quantity of a generic bupivacaine liposome injectable suspension in the U.S. beginning on a confidential date in 2039. In addition, in recognition of the Company’s expected savings with respect to, among other things, the avoidance of fees, costs, time and resources associated with continuing the litigations, the Company paid the eVenus ANDA Filers $7.0 million. This legal settlement cost was recorded within other operating (gains) expenses, net in the three months ended March 31, 2025 in the Company’s condensed consolidated statement of operations.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Paragraph IV Certification Notices</w:t>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In October 2025, the Company received two separate Paragraph IV Certifications from two Chinese generic drug manufacturers (The WhiteOak Group, Inc., or WhiteOak, of Rockville, Maryland (a subsidiary of Zhejiang Haichang Biotechnology Co., Ltd.) and Qilu Pharmaceutical (Hainan) Co., Ltd., or Qilu), each advising that they had submitted an ANDA to the FDA seeking authorization from the FDA to manufacture, use or sell a generic version of EXPAREL in the U.S. Each letter alleged that EXPAREL patents listed in the FDA’s </w:t>
      </w:r>
      <w:r>
        <w:rPr>
          <w:rFonts w:ascii="Times New Roman;serif" w:hAnsi="Times New Roman;serif"/>
          <w:b w:val="false"/>
          <w:i/>
          <w:color w:val="000000"/>
          <w:sz w:val="20"/>
        </w:rPr>
        <w:t>Approved Drug Products with Therapeutic Equivalence Evaluations</w:t>
      </w:r>
      <w:r>
        <w:rPr>
          <w:color w:val="000000"/>
        </w:rPr>
        <w:t xml:space="preserve"> </w:t>
      </w:r>
      <w:r>
        <w:rPr>
          <w:rFonts w:ascii="Times New Roman;serif" w:hAnsi="Times New Roman;serif"/>
          <w:b w:val="false"/>
          <w:color w:val="000000"/>
          <w:sz w:val="20"/>
        </w:rPr>
        <w:t xml:space="preserve">(the “Orange Book”) are not valid, not enforceable, and/or will not be infringed by the commercial manufacture, use or sale of the proposed products described in these ANDA submissions. </w:t>
      </w:r>
    </w:p>
    <w:p>
      <w:pPr>
        <w:pStyle w:val="TextBody"/>
        <w:bidi w:val="0"/>
        <w:spacing w:lineRule="auto" w:line="288" w:before="16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November, 26, 2025, the Company filed a patent infringement suit against WhiteOak and Qilu in the U.S. District Court of the District of Delaware (25-cv-1445) asserting infringement of U.S. Patent No. 11,033,495 (the ‘495 patent), U.S. Patent Nos. 11,819,574 (the ‘574 patent) U.S. Patent No. 12,144,890 (the ‘890 patent), U.S. Patent No. 12,151,024 (the ‘024 Patent), U.S. Patent No. 12,156,940 (the ‘940 patent), U.S. Patent No. 12,251,468 (the ‘468 Patent), U.S. Patent No. 12,296,047 (the ’047 Patent), U.S. Patent No. 12,318,483 (the ‘483 Patent), and U.S. Patent No. 12,370,142 (the ‘142 Patent). On January 23, 2026 and February 5, 2026, Qilu and WhiteOak, respectively, each answered the complaint and asserted affirmative defenses and counterclaims asserting, inter alia, invalidity, unenforceability and non-infringement. The Company intends to vigorously defend its intellectual property rights relating to EXPAREL. The Company is unable to predict the outcome of this litigation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26</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Shareholder Derivative Action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16, 2025, a Shareholder Derivative suit, Young v. Lee, et al, was filed in the District of New Jersey (25-cv-11841). The complaint alleges that certain officers and members of the Company’s board of directors breached their fiduciary duties by making materially false and misleading statements and/or concealed material adverse facts concerning EXPAREL patents. The case is in the pleadings stage and the Company is unable to predict the outcome of this litigation at this time.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Development Foundation</w:t>
      </w:r>
    </w:p>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an agreement with the Research Development Foundation, or RDF, the Company was required to pay RDF a low single-digit royalty on the collection of revenues from certain products for as long as certain patents assigned to the Company under the agreement remain valid. RDF has the right to terminate the agreement for an uncured material breach by the Company, in connection with its bankruptcy or insolvency or if it directly or indirectly opposes or disputes the validity of the assigned patent rights. The Company’s ‘495 patent was issued on June 15, 2021. Thereafter, RDF asserted that the issuance of that patent extends the Company’s royalty obligations under the agreement until 2041. The Company believes that the royalty period under the agreement ended on December 24, 2021 with the expiration of U.S. Patent No. 9,585,838. Because of the disagreement over the interpretation of the agreement, in December 2021, the Company filed a declaratory judgment lawsuit in the U.S. District Court for the District of Nevada (21-cv-02241). The lawsuit sought a declaration from the court that the Company owed no royalties to RDF with respect to its EXPAREL product after December 24, 2021.</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2023, the U.S. District Court, District of Nevada granted the Company’s motion for partial summary judgment in respect to the Company’s claim for a declaration that it no longer owes royalties for EXPAREL made under its 45-liter batch manufacturing process as of December 24, 2021. A trial as to whether royalties were owed on EXPAREL made under the Company’s enhanced, larger-scale manufacturing process was conducted in September 2024. In April 2025, the Court issued judgment in favor of the Company. As a result, the low single-digit royalty that the Company had been paying RDF is eliminated, and the Company sought repayment of up to $23.1 million, plus interest, from RDF, representing the royalties that the Company paid to RDF under protest on the collection of revenues of EXPAREL that occurred after December 24, 2021.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June 2025, the U.S. District Court for the District of Nevada issued judgment in favor of the Company declaring that RDF is required to repay Pacira $23.1 million in royalties on EXPAREL sales that were previously paid under protest. The Nevada Court also awarded Pacira an additional interest payment of $5.2 million in statutory interest on the royalties paid under protest. In July 2025, the Company received a $28.3 million cash payment for which $23.1 million was recorded within other operating (gains) expenses, net and $5.2 million was recorded within interest income in the three months ended September 30, 2025 in the Company’s condensed consolidated statements of operations. In May and September 2025, RDF filed two notices of appeal. A consolidated appeal is pending.</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Commitments, Contingencies and Commercial Partners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LG Chem</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2026, the Company and LG Chem, Ltd., or LG Chem, entered into a partnership agreement to expand access to EXPAREL in select Asian–Pacific markets. Under the terms of the partnership, LG Chem has the exclusive rights to commercialize EXPAREL in the region. The Company received a $2.0 million upfront payment that it will recognize over the license term upon commercialization and will receive a contractually stated price and tiered royalties on future commercial sales by LG Chem in its licensed territories. The Company will manufacture EXPAREL and LG Chem will be responsible for securing regulatory approvals in the licensed territories and plans to file for marketing authorizations in South Korea and Thailand in the second half of 2026.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Johnson &amp; Johnson MedTech</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Company entered into a co-promotion agreement, with Johnson &amp; Johnson MedTech, or J&amp;J MedTech, (the “J&amp;J Agreement”), to market and promote the use of ZILRETTA for OA knee pain in the U.S. J&amp;J MedTech’s specialized early intervention sales force will extend the reach of ZILRETTA beyond orthopedic practices, into multiple new physician specialties, including sports medicine, osteopathy, pain management and rheumatology.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Under the J&amp;J Agreement, J&amp;J MedTech is the exclusive third-party co-promoter for ZILRETTA in the U.S. The initial term of the J&amp;J Agreement extends through 2031 with an option to extend under mutual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will continue to recognize all revenue from sales of ZILRETTA. As compensation for its promotional efforts, for the first 12 months of the J&amp;J Agreement the Company will pay J&amp;J MedTech a minimum monthly commission. For the remaining term of the agreement, Pacira will pay a tier-based commission with higher commission percentages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27</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at higher annual ZILRETTA sales levels. J&amp;J MedTech will receive a tiered commission ranging from low single digits to double digits.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and J&amp;J MedTech have mutual termination rights under the J&amp;J Agreement, subject to certain terms, conditions and advance notice requirements, provided that the Company or J&amp;J MedTech generally may not terminate the J&amp;J Agreement, without cause, within one year of the effective date of the J&amp;J Agreement. The Company also has additional unilateral termination rights under certain circumstances. The J&amp;J Agreement contains customary representations, warranties, covenants and confidentiality provisions, as well as mutual indemnification obligations. J&amp;J MedTech is also subject to certain obligations and restrictions, including required compliance with certain laws and regulations and the Company’s policies, in connection with fulfilling their obligations under the J&amp;J Agreement.</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Pediatric Trial Commitments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FDA, as a condition of EXPAREL approval, has required the Company to study EXPAREL for infiltration and as a brachial plexus block in pediatric patients. The Company was granted deferrals for the required pediatric trials until after the indications were approved in adults. Similarly, in Europe, the Company agreed with the European Medicines Agency, or EMA, on a Pediatric Investigation Plan as a prerequisite for submitting a Marketing Authorization Application (MAA) in the European Union, or E.U. Despite the U.K.’s withdrawal from the E.U., the agreed pediatric plan is applicable in the U.K.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notification from both the FDA and EMA that its pediatric studies requirement had been waived for the indications of brachial plexus interscalene nerve block, lower extremity nerve block, sciatic nerve block in the popliteal fossa and adductor canal block indications to produce postsurgical regional analgesia in pediatric patients. The Company is still working with the FDA, EMA and Medicines and Healthcare Regulatory Agency (MHRA) to finalize the regulatory pathways for its remaining pediatric commitments.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successfully completed Part 1 of a Phase 1 pharmacokinetic pediatric study in children aged two to less than six years of age and has completed enrollment for Part 2 of the study in children aged six months to less than two years of age using the same dosage that was utilized in Part 1.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Contingent Milestone Payments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Refer to Note 10,</w:t>
      </w:r>
      <w:r>
        <w:rPr>
          <w:color w:val="000000"/>
        </w:rPr>
        <w:t xml:space="preserve"> </w:t>
      </w:r>
      <w:r>
        <w:rPr>
          <w:rFonts w:ascii="Times New Roman;serif" w:hAnsi="Times New Roman;serif"/>
          <w:b w:val="false"/>
          <w:i/>
          <w:color w:val="000000"/>
          <w:sz w:val="20"/>
        </w:rPr>
        <w:t>Financial Instruments</w:t>
      </w:r>
      <w:r>
        <w:rPr>
          <w:rFonts w:ascii="Times New Roman;serif" w:hAnsi="Times New Roman;serif"/>
          <w:b w:val="false"/>
          <w:color w:val="000000"/>
          <w:sz w:val="20"/>
        </w:rPr>
        <w:t>, for information on potential contingent milestone payments related to the Flexion Acquisition.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PCRX-201</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(enekinragene inzadenovec) is a novel, locally administered gene therapy product candidate that boosts cellular production of the anti-inflammatory protein interleukin-1 receptor antagonist (IL-1Ra) for treating OA pain in the knee. PCRX-201 was added to the Company’s portfolio as part of the Flexion Acquisition in November 2021. In February 2024, the FDA granted a Regenerative Medicine Advanced Therapy designation to PCRX-201.</w:t>
      </w:r>
    </w:p>
    <w:p>
      <w:pPr>
        <w:pStyle w:val="TextBody"/>
        <w:bidi w:val="0"/>
        <w:spacing w:lineRule="auto" w:line="288" w:before="16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Prior to the Flexion Acquisition, in 2017, Flexion entered into an agreement with GQ Bio to acquire the global rights to PCRX-201, a gene therapy product candidate. As part of the agreement, up to an aggregate of $56.0 million of payments could have become due upon the achievement of certain development and regulatory milestones, including up to $4.5 million through initiation of a Phase 2 clinical trial and up to an additional $51.5 million in development and global regulatory approval milestone payments. In February 2025, Pacira Therapeutics, Inc., a wholly-owned subsidiary of the Company, completed the GQ Bio Acquisition and acquired the remaining 81% of GQ Bio that was not already owned by the Company. As of the date hereof, GQ Bio is a wholly-owned subsidiary of the Company.</w:t>
      </w:r>
    </w:p>
    <w:p>
      <w:pPr>
        <w:pStyle w:val="TextBody"/>
        <w:bidi w:val="0"/>
        <w:spacing w:lineRule="auto" w:line="288" w:before="16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Also in 2017, in an agreement between The Baylor College of Medicine, or BCM, and GQ Bio, the Company (through the Flexion Acquisition) became the direct licensee of certain underlying BCM patents and other proprietary rights related to PCRX-201. The license agreement grants the Company an exclusive, royalty-bearing, world-wide right and license under its patent and other proprietary rights directly related to PCRX-201. The license agreement with BCM includes a low single-digit royalty on net product sales of PCRX-201. Milestone payments range from $0.1 million up to $0.6 million based on the completion of a Phase 1 FDA trial up to a Phase 3 clinical trial.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28</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17—SEGMENT INFORMATION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is managed and operated as a single business focused on the development, manufacture, marketing, distribution and sale of non-opioid pain therapies. The Company is managed by a single management team, and consistent with its organizational structure, the Chief Executive Officer—who is the Company’s chief operating decision maker, or CODM—manages and allocates resources at a consolidated level. Accordingly, the Company views its business as one operating segment and one reportable segment to evaluate its performance, allocate resources, set operational targets and forecast its future financial results.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key measure of the Company is GAAP net income. The CODM uses this measure to evaluate its performance, allocate resources, set operational targets and forecast its future financial results.</w:t>
      </w:r>
    </w:p>
    <w:p>
      <w:pPr>
        <w:pStyle w:val="TextBody"/>
        <w:bidi w:val="0"/>
        <w:spacing w:lineRule="auto" w:line="288" w:before="10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are significant expense categories and amounts that are regularly provided to the CODM. These expense categories differ from what is disclosed in the Company’s financial results. The table below reconciles the significant expense categories provided to the CODM to the Company’s expenses as disclosed under GAAP (in thousands):</w:t>
      </w:r>
    </w:p>
    <w:tbl>
      <w:tblPr>
        <w:tblW w:w="7930" w:type="dxa"/>
        <w:jc w:val="left"/>
        <w:tblInd w:w="0" w:type="dxa"/>
        <w:tblLayout w:type="fixed"/>
        <w:tblCellMar>
          <w:top w:w="28" w:type="dxa"/>
          <w:left w:w="28" w:type="dxa"/>
          <w:bottom w:w="28" w:type="dxa"/>
          <w:right w:w="28" w:type="dxa"/>
        </w:tblCellMar>
      </w:tblPr>
      <w:tblGrid>
        <w:gridCol w:w="1609"/>
        <w:gridCol w:w="1410"/>
        <w:gridCol w:w="1421"/>
        <w:gridCol w:w="109"/>
        <w:gridCol w:w="109"/>
        <w:gridCol w:w="140"/>
        <w:gridCol w:w="140"/>
        <w:gridCol w:w="271"/>
        <w:gridCol w:w="1063"/>
        <w:gridCol w:w="140"/>
        <w:gridCol w:w="109"/>
        <w:gridCol w:w="109"/>
        <w:gridCol w:w="109"/>
        <w:gridCol w:w="211"/>
        <w:gridCol w:w="82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cost of goods sold</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research and development</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selling and marketing</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general and administrative</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170,474 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7"/>
        </w:rPr>
      </w:pPr>
      <w:r>
        <w:rPr>
          <w:rFonts w:ascii="Times New Roman;serif" w:hAnsi="Times New Roman;serif"/>
          <w:b w:val="false"/>
          <w:color w:val="000000"/>
          <w:sz w:val="17"/>
        </w:rPr>
        <w:t>(1) The adjustments are primarily related to stock-based compensation being noted separately as a line item.</w:t>
      </w:r>
    </w:p>
    <w:p>
      <w:pPr>
        <w:pStyle w:val="TextBody"/>
        <w:bidi w:val="0"/>
        <w:spacing w:lineRule="auto" w:line="288" w:before="60" w:after="283"/>
        <w:jc w:val="left"/>
        <w:rPr/>
      </w:pPr>
      <w:r>
        <w:rPr>
          <w:rFonts w:ascii="Times New Roman;serif" w:hAnsi="Times New Roman;serif"/>
          <w:b w:val="false"/>
          <w:color w:val="000000"/>
          <w:sz w:val="17"/>
        </w:rPr>
        <w:t>(2) During the three months ended March 31, 2026, the remaining other operating expenses relate to a key employee holdback. As part of the GQ Bio Acquisition, $7.8 million related to two employees’ payments will be recognized over three years pursuant to a key employee holdback agreement in increments of 50%, 30% and 20% at each year’s respective anniversar</w:t>
      </w:r>
      <w:r>
        <w:rPr>
          <w:rFonts w:ascii="Times New Roman;serif" w:hAnsi="Times New Roman;serif"/>
          <w:b w:val="false"/>
          <w:color w:val="000000"/>
          <w:sz w:val="20"/>
        </w:rPr>
        <w:t xml:space="preserve">y </w:t>
      </w:r>
      <w:r>
        <w:rPr>
          <w:rFonts w:ascii="Times New Roman;serif" w:hAnsi="Times New Roman;serif"/>
          <w:b w:val="false"/>
          <w:color w:val="000000"/>
          <w:sz w:val="17"/>
        </w:rPr>
        <w:t>of the GQ Bio Acquisition. During the three months ended March 31, 2025, the remaining other operating expenses primarily related to acquisition-related charges.</w:t>
      </w:r>
    </w:p>
    <w:p>
      <w:pPr>
        <w:pStyle w:val="TextBody"/>
        <w:bidi w:val="0"/>
        <w:spacing w:lineRule="auto" w:line="288" w:before="120" w:after="160"/>
        <w:ind w:left="0" w:right="0" w:firstLine="450"/>
        <w:jc w:val="left"/>
        <w:rPr/>
      </w:pPr>
      <w:r>
        <w:rPr>
          <w:rFonts w:ascii="Times New Roman;serif" w:hAnsi="Times New Roman;serif"/>
          <w:b w:val="false"/>
          <w:color w:val="000000"/>
          <w:sz w:val="20"/>
        </w:rPr>
        <w:t xml:space="preserve">The measure of segment assets is reported on the Company’s consolidated balance sheet as total assets. Substantially all of the Company’s assets are used to support its mission in delivering innovative, non-opioid pain therapies to transform the lives of patients. As of March 31, 2026 and December 31, 2025, the Company’s long-lived assets were primarily located in the U.S. (both 83%), and, to a lesser extent, Germany (both 9%) and the U.K. (both 8%). For information on the Company’s fixed assets, refer to Note 5, </w:t>
      </w:r>
      <w:r>
        <w:rPr>
          <w:rFonts w:ascii="Times New Roman;serif" w:hAnsi="Times New Roman;serif"/>
          <w:b w:val="false"/>
          <w:i/>
          <w:color w:val="000000"/>
          <w:sz w:val="20"/>
        </w:rPr>
        <w:t>Fixed Assets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29</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MANAGEMENT</w:t>
      </w:r>
      <w:r>
        <w:rPr>
          <w:color w:val="000000"/>
        </w:rPr>
        <w:t>’</w:t>
      </w:r>
      <w:r>
        <w:rPr>
          <w:rFonts w:ascii="Times New Roman;serif" w:hAnsi="Times New Roman;serif"/>
          <w:b/>
          <w:i/>
          <w:color w:val="000000"/>
          <w:sz w:val="20"/>
        </w:rPr>
        <w:t>S DISCUSSION AND ANALYSIS OF FINANCIAL CONDITION AND RESULTS OF OPERATIONS</w:t>
      </w:r>
    </w:p>
    <w:p>
      <w:pPr>
        <w:pStyle w:val="TextBody"/>
        <w:bidi w:val="0"/>
        <w:spacing w:before="0" w:after="0"/>
        <w:jc w:val="left"/>
        <w:rPr/>
      </w:pPr>
      <w:r>
        <w:rPr/>
      </w:r>
    </w:p>
    <w:p>
      <w:pPr>
        <w:pStyle w:val="TextBody"/>
        <w:bidi w:val="0"/>
        <w:spacing w:lineRule="auto" w:line="288" w:before="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Management’s Discussion and Analysis of Financial Condition and Results of Operations is based upon our condensed consolidated financial statements, which have been prepared in accordance with generally accepted accounting principles in the United States of America (GAAP) and in accordance with the rules and regulations of the United States Securities and Exchange Commission, or SEC.</w:t>
      </w:r>
    </w:p>
    <w:p>
      <w:pPr>
        <w:pStyle w:val="TextBody"/>
        <w:bidi w:val="0"/>
        <w:spacing w:lineRule="auto" w:line="288" w:before="0" w:after="0"/>
        <w:ind w:left="0" w:right="0" w:firstLine="450"/>
        <w:jc w:val="left"/>
        <w:rPr/>
      </w:pPr>
      <w:r>
        <w:rPr>
          <w:rFonts w:ascii="Times New Roman;serif" w:hAnsi="Times New Roman;serif"/>
          <w:b w:val="false"/>
          <w:i/>
          <w:color w:val="000000"/>
          <w:sz w:val="20"/>
        </w:rPr>
        <w:t>This Quarterly Report on Form 10-Q and certain other communications made by us contain forward-looking statements within the meaning of Section 21E of the Securities Exchange Act of 1934, as amended (the “Exchange Act”), and the Private Securities Litigation Reform Act of 1995, including, without limitation, statements related to: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often use the words “anticipate,” “believe,” “can,” “could,” “estimate,” “expect,” “intend,” “may,” “plan,” “project,” “should,” “will,” “would” and similar expressions to help identify forward-looking statements. We cannot assure you that our estimates, assumptions and expectations will prove to have been correct. Actual results may differ materially from these indicated by such forward-looking statements as a result of various important factors, including risks relating to, among 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our manufacturing and supply chain, global and United States, or U.S., economic conditions (including tariffs, inflation and rising interest rates), and our business, including our revenues, financial condition, cash flows and results of operations; the success of our sales and manufacturing efforts in support of the commercialization of EXPAREL</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(bupivacaine liposome injectable suspension), ZILRETTA</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(triamcinolone acetonide extended-release injectable suspension) and iovera</w:t>
      </w:r>
      <w:r>
        <w:rPr>
          <w:rFonts w:ascii="Times New Roman;serif" w:hAnsi="Times New Roman;serif"/>
          <w:b w:val="false"/>
          <w:i/>
          <w:color w:val="000000"/>
          <w:sz w:val="13"/>
        </w:rPr>
        <w:t>®</w:t>
      </w:r>
      <w:r>
        <w:rPr>
          <w:rFonts w:ascii="Times New Roman;serif" w:hAnsi="Times New Roman;serif"/>
          <w:b w:val="false"/>
          <w:i/>
          <w:color w:val="000000"/>
          <w:sz w:val="20"/>
        </w:rPr>
        <w:t>°; the rate and degree of market acceptance of EXPAREL, ZILRETTA and iovera°; the size and growth of the potential markets for EXPAREL, ZILRETTA and iovera° and our ability to serve those markets; our plans to expand the use of EXPAREL, ZILRETTA and iovera° to additional indications and opportunities, and the timing and success of any related clinical trials for EXPAREL, ZILRETTA, iovera° and any of our other product candidates, including, but not limited to, PCRX-201 (enekinragene inzadenovec) and PCRX-2002; the commercial success of EXPAREL, ZILRETTA and iovera°; the related timing and success of U.S. Food and Drug Administration, or FDA, supplemental New Drug Applications, or sNDAs, and premarket notification 510(k)s; the related timing and success of European Medicines Agency, or EMA, Marketing Authorization Applications, or MAAs; our plans to evaluate, develop and pursue additional product candidates utilizing our proprietary high-capacity adenovirus (“HCAd”) vector platform; the approval of the commercialization of our products in other jurisdictions</w:t>
      </w:r>
      <w:r>
        <w:rPr>
          <w:color w:val="000000"/>
        </w:rPr>
        <w:t xml:space="preserve"> </w:t>
      </w:r>
      <w:r>
        <w:rPr>
          <w:rFonts w:ascii="Times New Roman;serif" w:hAnsi="Times New Roman;serif"/>
          <w:b w:val="false"/>
          <w:i/>
          <w:color w:val="000000"/>
          <w:sz w:val="20"/>
        </w:rPr>
        <w:t>(by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and the anticipated funding or benefits of our share repurchase program.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The forward-looking statements included in this Quarterly Report on Form 10-Q represent our views as of the filing date of this Quarterly Report on Form 10-Q. Important factors could cause our actual results to differ materially from those indicated or implied by forward-looking statements, and as such we anticipate that subsequent events and developments will cause our views to change. Except as required by applicable law, we undertake no intention or obligation to update or revise any forward-looking statements, whether as a result of new information, future events or otherwise, and readers should not rely on the forward-looking statements as representing our views as of any date subsequent to the date of the filing of this Quarterly Report on Form 10-Q.</w:t>
      </w:r>
    </w:p>
    <w:p>
      <w:pPr>
        <w:pStyle w:val="TextBody"/>
        <w:bidi w:val="0"/>
        <w:spacing w:before="0" w:after="0"/>
        <w:jc w:val="left"/>
        <w:rPr/>
      </w:pPr>
      <w:r>
        <w:rPr/>
      </w:r>
    </w:p>
    <w:p>
      <w:pPr>
        <w:pStyle w:val="TextBody"/>
        <w:bidi w:val="0"/>
        <w:spacing w:lineRule="auto" w:line="276" w:before="0" w:after="0"/>
        <w:ind w:left="0" w:right="0" w:firstLine="450"/>
        <w:jc w:val="left"/>
        <w:rPr/>
      </w:pPr>
      <w:r>
        <w:rPr>
          <w:rFonts w:ascii="Times New Roman;serif" w:hAnsi="Times New Roman;serif"/>
          <w:b w:val="false"/>
          <w:i/>
          <w:color w:val="000000"/>
          <w:sz w:val="20"/>
        </w:rPr>
        <w:t xml:space="preserve">These forward-looking statements involve known and unknown risks, uncertainties and other factors that may cause our actual results, levels of activity, performance or achievements to differ materially from those expressed or implied by these statements. These factors include items mentioned herein and the matters discussed and referenced in Part I-Item 1A. “Risk Factors” included in our </w:t>
      </w:r>
      <w:hyperlink r:id="rId3">
        <w:r>
          <w:rPr>
            <w:rStyle w:val="InternetLink"/>
            <w:rFonts w:ascii="Times New Roman;serif" w:hAnsi="Times New Roman;serif"/>
            <w:b w:val="false"/>
            <w:i/>
            <w:color w:val="0000FF"/>
            <w:sz w:val="20"/>
            <w:u w:val="single"/>
          </w:rPr>
          <w:t>Annual Report on Form 10-K for the year ended December 31, 2025</w:t>
        </w:r>
      </w:hyperlink>
      <w:r>
        <w:rPr>
          <w:color w:val="000000"/>
        </w:rPr>
        <w:t xml:space="preserve"> </w:t>
      </w:r>
      <w:r>
        <w:rPr>
          <w:rFonts w:ascii="Times New Roman;serif" w:hAnsi="Times New Roman;serif"/>
          <w:b w:val="false"/>
          <w:i/>
          <w:color w:val="000000"/>
          <w:sz w:val="20"/>
        </w:rPr>
        <w:t>(the “2025 Annual Report”) and in other reports filed with the SEC.</w:t>
      </w:r>
    </w:p>
    <w:p>
      <w:pPr>
        <w:pStyle w:val="TextBody"/>
        <w:bidi w:val="0"/>
        <w:spacing w:before="0" w:after="0"/>
        <w:jc w:val="left"/>
        <w:rPr/>
      </w:pPr>
      <w:r>
        <w:rPr/>
      </w:r>
    </w:p>
    <w:p>
      <w:pPr>
        <w:pStyle w:val="TextBody"/>
        <w:bidi w:val="0"/>
        <w:spacing w:lineRule="auto" w:line="288" w:before="0" w:after="200"/>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to “Pacira,” the “Company,” the “Registrant,” “our,” “us” and “we” in this Quarterly Report on Form 10-Q refer to Pacira BioSciences,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30</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Pacira’s mission is to deliver innovative, non-opioid pain therapies to transform the lives of patients. We are focused in two therapeutic areas as defined by the indications within our approved commercial portfolio and the indications we are pursuing within our clinical development pipeline. One area is postsurgical pain control and the second is early intervention osteoarthritis, or OA, pain management. EXPAREL is our long-acting, non-opioid analgesic for postsurgical pain control. EXPAREL utilizes our unique pMVL drug delivery technology that encapsulates drugs without altering their molecular structure and releases them over a desired period of time. In the U.S., EXPAREL is the only product indicated for local analgesia via infiltration in patients aged six years and older and regional analgesia via interscalene brachial plexus nerve block, sciatic nerve block in the popliteal fossa and adductor canal block in adults.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We drop-ship EXPAREL directly to end-users based on orders placed to wholesalers or directly to us. ZILRETTA is our extended-release corticosteroid approved to manage OA knee pain. With a single injection, ZILRETTA can significantly reduce knee pain for three months of relief. ZILRETTA is a potential alternative to hyaluronic acid, platelet rich plasma injections or other early intervention treatments. Our other commercial product—iovera°—is a handheld cryoanalgesia device used to deliver a precise, controlled application of cold temperature to targeted nerves, which we sell directly to end users. EXPAREL, ZILRETTA and iovera° are highly complementary products as long-acting, non-opioid therapies that alleviate pain. We are also advancing the two Phase 2 clinical programs—PCRX-201(enekinragene inzadenovec), a novel locally administered gene therapy for knee OA, and PCRX-2002, a complementary, long-acting formulation of the non-opioid analgesic ropivacaine for postsurgical pain control. are also advancing the development of PCRX-201 (enekinragene inzadenovec), a novel, locally administered gene therapy for the treatment of OA of the knee. PCRX-201 is the lead program from our proprietary high-capacity adenovirus, or HCAd, vector platform, which enables local administration of genetic medicines and has the potential to unlock gene therapy for large prevalent diseases affecting millions of people.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invest in commercial resources to expand the utilization of EXPAREL, ZILRETTA and iovera°; advance regulatory activities for EXPAREL, ZILRETTA, iovera°, progress our clinical-stage product candidates—including PCRX-201 and PCRX-2002; expand and enhance our commercial manufacturing efficiencies; invest in new products, businesses and technologies through business development; and support legal matters.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Global Economic Conditions, Inflation and Tariffs </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Direct and indirect effects of global economic conditions have in the past, and may continue to, negatively impact our business, financial condition and results of operations. Such impacts may include the effect of prolonged periods of inflation, the imposition of tariffs or increases in the prices of commodities, such as fuel, which could, among other things, result in higher costs for raw materials, equipment and other goods and services; cause patients to defer or cancel medical procedures, thereby adversely impacting our revenues; and negatively impact our suppliers, which could result in negative impacts on gross margins, longer lead-times or the inability to procure a sufficient supply of materials.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While we have not experienced a material impact from tariffs to date, the current macroeconomic environment remains dynamic and subject to rapid and potentially material change. Our business may be adversely impacted by ongoing risks associated with global macroeconomic conditions, including international relations and trade disputes. In particular, ZILRETTA and EXPAREL are manufactured by a contract development and manufacturing organization in the United Kingdom, or U.K., and the active pharmaceutical ingredients, or API, for both products are sourced primarily from Europe. On April 2, 2026, the President of the U.S. issued a proclamation under Section 232 of the Trade Expansion Act of 1962, imposing tariffs on certain pharmaceutical products imported to the U.S. This order (the “Presidential Order”) applies to patented pharmaceutical products, associated APIs and other products classified under Harmonized Tariff Schedule (HTS) U.S. codes listed in Annex I. The Presidential Order imposes country-specific tariffs, including 15% tariffs on certain products imported from the European Union, or E.U., Japan, South Korea, Switzerland and Liechtenstein. The order imposes a 10% tariff on products imported from the U.K. with a potential reduction to 0%, subject to a future U.S. and U.K. pharmaceutical pricing agreement. Patented pharmaceutical products imported from certain other countries may be subject to tariffs of up to 100%. As a result of the Presidential Order, we expect tariffs to apply to the API used in EXPAREL, as well as EXPAREL and ZILRETTA product imported from the U.K. We will continue to monitor developments and assess any potential impacts and related trade measures on our business and supply chain.</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Such tariffs imposed by the U.S. and/or other countries that are currently in effect, or may take effect in the future, could increase our manufacturing and operating expenses in future periods, including the cost to deliver our products to commercial markets, the cost to source raw materials for the manufacturing of our products and the cost of materials used in our research and development activities. The previous imposition of tariffs and future tariffs impacting our industry, the magnitude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31</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response by other countries to such tariffs and the length of time such tariffs are in effect may also increase uncertainty and adversely impact our business.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has been significant volatility in U.S. tariff and customs policy recently, with frequent changes in rates, sudden elimination or reinstatement of exemptions, shifts in implementation dates and reversals of prior actions. This volatility makes it more difficult to forecast costs, plan our global supply chain and provide reliable financial guidance. Policy changes often require rapid operational adjustments that can increase costs and reduce efficiency. We expect such volatility and uncertainty related to tariffs and customs to continue, potentially posing ongoing challenges to our operations, financial planning and investor communications.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Recent Highlights</w:t>
      </w:r>
    </w:p>
    <w:p>
      <w:pPr>
        <w:pStyle w:val="TextBody"/>
        <w:bidi w:val="0"/>
        <w:spacing w:lineRule="auto" w:line="288" w:before="0" w:after="100"/>
        <w:ind w:left="0" w:right="0" w:hanging="270"/>
        <w:jc w:val="left"/>
        <w:rPr/>
      </w:pPr>
      <w:r>
        <w:rPr>
          <w:color w:val="000000"/>
        </w:rPr>
        <w:t>•</w:t>
      </w:r>
      <w:r>
        <w:rPr>
          <w:rFonts w:ascii="Times New Roman;serif" w:hAnsi="Times New Roman;serif"/>
          <w:b w:val="false"/>
          <w:color w:val="000000"/>
          <w:sz w:val="20"/>
        </w:rPr>
        <w:t>In March 2026, we announced findings from two real-world studies evaluating the economic benefits of EXPAREL in orthopedic procedures, including total knee arthroplasty, or TKA, and spinal fusion. In both studies, EXPAREL was associated with lower total cost of care compared with ropivacaine in one study and standard of care options (non-liposomal bupivacaine) in the other, with reductions observed in both outpatient and inpatient surgical settings. The data was presented at the Orthopaedic Research Society (ORS) 2026 Annual Meeting in Charlotte, North Carolina.</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The analyses include two propensity score-matched cohort studies evaluating outcomes on surgery day and throughout 30 days of follow-up in commercial and Medicare Advantage populations. Across both studies, EXPAREL was associated with lower total costs and reductions in select healthcare resource utilization measures. In the spinal fusion study, these reductions were driven primarily by a shorter length of hospital stay.</w:t>
      </w:r>
    </w:p>
    <w:p>
      <w:pPr>
        <w:pStyle w:val="TextBody"/>
        <w:bidi w:val="0"/>
        <w:spacing w:lineRule="auto" w:line="288" w:before="0" w:after="60"/>
        <w:ind w:left="0" w:right="0" w:hanging="270"/>
        <w:jc w:val="left"/>
        <w:rPr/>
      </w:pPr>
      <w:r>
        <w:rPr>
          <w:color w:val="000000"/>
        </w:rPr>
        <w:t>•</w:t>
      </w:r>
      <w:r>
        <w:rPr>
          <w:rFonts w:ascii="Times New Roman;serif" w:hAnsi="Times New Roman;serif"/>
          <w:b w:val="false"/>
          <w:color w:val="000000"/>
          <w:sz w:val="20"/>
        </w:rPr>
        <w:t>In April 2026, we presented three real-world studies supporting the economic value of EXPAREL in total hip arthroplasty, or THA, and TKA procedures performed in hospital outpatient department, or HOPD, setting at the Academy of Managed Care Pharmacy Annual 2026 Meeting in Nashville, Tennessee. Across the analyses, EXPAREL use was associated with lower or comparable total healthcare costs and reduced opioid utilization in certain patient populations over follow-up periods of up to six months.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Select findings include:</w:t>
      </w:r>
    </w:p>
    <w:p>
      <w:pPr>
        <w:pStyle w:val="TextBody"/>
        <w:bidi w:val="0"/>
        <w:spacing w:lineRule="auto" w:line="288" w:before="0" w:after="60"/>
        <w:jc w:val="left"/>
        <w:rPr>
          <w:color w:val="000000"/>
        </w:rPr>
      </w:pPr>
      <w:r>
        <w:rPr>
          <w:color w:val="000000"/>
        </w:rPr>
        <w:t xml:space="preserve">• </w:t>
      </w:r>
      <w:r>
        <w:rPr>
          <w:rFonts w:ascii="Times New Roman;serif" w:hAnsi="Times New Roman;serif"/>
          <w:b w:val="false"/>
          <w:color w:val="000000"/>
          <w:sz w:val="20"/>
        </w:rPr>
        <w:t>In one study, the use of EXPAREL for THA in HOPDs was associated with lower total healthcare costs over three and six months of post-surgical follow-up.</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o More pronounced cost savings for patients with lower back pain as well as reduced opioid usage compared to patients who did not receive liposomal bupivacaine were also observed.</w:t>
      </w:r>
    </w:p>
    <w:p>
      <w:pPr>
        <w:pStyle w:val="TextBody"/>
        <w:bidi w:val="0"/>
        <w:spacing w:lineRule="auto" w:line="288" w:before="0" w:after="60"/>
        <w:jc w:val="left"/>
        <w:rPr>
          <w:color w:val="000000"/>
        </w:rPr>
      </w:pPr>
      <w:r>
        <w:rPr>
          <w:color w:val="000000"/>
        </w:rPr>
        <w:t xml:space="preserve">• </w:t>
      </w:r>
      <w:r>
        <w:rPr>
          <w:rFonts w:ascii="Times New Roman;serif" w:hAnsi="Times New Roman;serif"/>
          <w:b w:val="false"/>
          <w:color w:val="000000"/>
          <w:sz w:val="20"/>
        </w:rPr>
        <w:t>In the second assessment, EXPAREL use during HOPD TKA was associated with comparable or lower healthcare costs, particularly in teaching hospitals.</w:t>
      </w:r>
    </w:p>
    <w:p>
      <w:pPr>
        <w:pStyle w:val="TextBody"/>
        <w:bidi w:val="0"/>
        <w:spacing w:lineRule="auto" w:line="288" w:before="0" w:after="100"/>
        <w:jc w:val="left"/>
        <w:rPr>
          <w:color w:val="000000"/>
        </w:rPr>
      </w:pPr>
      <w:r>
        <w:rPr>
          <w:color w:val="000000"/>
        </w:rPr>
        <w:t xml:space="preserve">• </w:t>
      </w:r>
      <w:r>
        <w:rPr>
          <w:rFonts w:ascii="Times New Roman;serif" w:hAnsi="Times New Roman;serif"/>
          <w:b w:val="false"/>
          <w:color w:val="000000"/>
          <w:sz w:val="20"/>
        </w:rPr>
        <w:t>The third assessment was a three-year budget impact analysis, that found that EXPAREL use was associated with a projected cumulative absolute cost difference of $117,868 per one million members by year three compared to ropivacaine in the HOPD Commercial and Medicare Advantage settings, with higher pharmacy acquisition costs offset by reductions in total healthcare expenditures.</w:t>
      </w:r>
    </w:p>
    <w:p>
      <w:pPr>
        <w:pStyle w:val="TextBody"/>
        <w:bidi w:val="0"/>
        <w:spacing w:lineRule="auto" w:line="288" w:before="0" w:after="240"/>
        <w:ind w:left="0" w:right="0" w:hanging="270"/>
        <w:jc w:val="left"/>
        <w:rPr/>
      </w:pPr>
      <w:r>
        <w:rPr>
          <w:color w:val="000000"/>
        </w:rPr>
        <w:t>•</w:t>
      </w:r>
      <w:r>
        <w:rPr>
          <w:rFonts w:ascii="Times New Roman;serif" w:hAnsi="Times New Roman;serif"/>
          <w:b w:val="false"/>
          <w:color w:val="000000"/>
          <w:sz w:val="20"/>
        </w:rPr>
        <w:t>In April 2026, we concluded patient enrollment in our Phase 3 registration study of ZILRETTA for OA pain of the shoulder. We expect to report topline results later this year. If the study is successful, ZILRETTA could be the first product with an on-label indication for OA pain of the shoulder.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EXPAREL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the U.S., EXPAREL is currently indicated for local analgesia via infiltration in patients aged six years and older and regional analgesia via interscalene brachial plexus nerve block, sciatic nerve block in the popliteal fossa, and adductor canal block in adults. Safety and efficacy have not been established in other nerve blocks. In Europe, EXPAREL is approved as a brachial plexus block or femoral nerve block for treatment of post-operative pain in adults, and as a field block for treatment of somatic post-operative pain from small- to medium-sized surgical wounds in adults and children aged six years and older. We are currently advancing a registration program for EXPAREL in pediatric patients under six years of age.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EXPAREL Clinical Benefits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EXPAREL can replace the use of bupivacaine delivered via elastomeric pumps as the foundation of a multimodal regimen for long-acting postsurgical pain management. Based on our clinical data, EXPAREL:</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provides long-lasting local or regional analgesia;</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is a ready-to-use formulation;</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expands easily with saline or lactated Ringer’s solution to reach a desired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32</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can be administered for local analgesia via infiltration and for regional analgesia via field block, as well as brachial plexus nerve block, sciatic nerve block in the popliteal fossa and adductor canal block; and</w:t>
      </w:r>
    </w:p>
    <w:p>
      <w:pPr>
        <w:pStyle w:val="TextBody"/>
        <w:bidi w:val="0"/>
        <w:spacing w:lineRule="auto" w:line="288" w:before="0" w:after="100"/>
        <w:ind w:left="0" w:right="0" w:hanging="540"/>
        <w:jc w:val="left"/>
        <w:rPr/>
      </w:pPr>
      <w:r>
        <w:rPr>
          <w:color w:val="000000"/>
        </w:rPr>
        <w:t>•</w:t>
      </w:r>
      <w:r>
        <w:rPr>
          <w:rFonts w:ascii="Times New Roman;serif" w:hAnsi="Times New Roman;serif"/>
          <w:b w:val="false"/>
          <w:color w:val="000000"/>
          <w:sz w:val="20"/>
        </w:rPr>
        <w:t>facilitates treatment across a variety of surgical sites.</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EXPAREL is a key component of long-acting postsurgical pain management regimens that reduce the need for opioids. Based on the clinical data from our Phase 3 and Phase 4 clinical studies as well as data from retrospective health outcomes studies, EXPAREL significantly reduces opioid usage while improving postsurgical pain management.</w:t>
      </w:r>
    </w:p>
    <w:p>
      <w:pPr>
        <w:pStyle w:val="TextBody"/>
        <w:bidi w:val="0"/>
        <w:spacing w:lineRule="auto" w:line="288" w:before="0" w:after="24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have successfully completed Part 1 of a pediatric study in children aged two to less than six years of age. We have completed enrollment for Part 2 of the pediatric study in children aged six months to less than two years of age using the same dosage that was utilized in Part 1.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ZILRETTA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is the first and only extended-release, single-shot corticosteroid IA injection therapy for OA knee pain. ZILRETTA employs a proprietary, extended-release microsphere technology combining triamcinolone acetonide, or TA, a commonly administered, immediate-release corticosteroid, with a poly lactic-co-glycolic acid, or PLGA, matrix to provide extended pain relief. PLGA is a proven extended-release delivery vehicle that is metabolized to carbon dioxide and water as it releases drug in the IA space and is used in other approved drug products and surgical devices. The ZILRETTA microspheres slowly and continuously release TA into the knee to provide significant pain relief for 12 weeks, with some people experiencing pain relief through 16 weeks. ZILRETTA was approved by the FDA in October 2017 and launched in the U.S. shortly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advancing a Phase 3 registration study to evaluate the safety and efficacy of ZILRETTA for the management of OA pain of the shoulder, and concluded patient enrollment in April 2026. If the study is successful, we plan to seek approval to expand the ZILRETTA label to include OA pain of the shoulder, which could make ZILRETTA the first product with such an on-label indication.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ZILRETTA Clinical Benefits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ZILRETTA combines TA with a proprietary, extended-release microsphere technology to administer extended therapeutic concentrations in the joint and persistent analgesic effect. Based on the strength of both its pivotal and other clinical trials, we believe that ZILRETTA represents an important treatment option for the millions of patients in the U.S. in need of safe and effective extended relief from OA knee pain. </w:t>
      </w:r>
      <w:r>
        <w:rPr>
          <w:rFonts w:ascii="Times New Roman;serif" w:hAnsi="Times New Roman;serif"/>
          <w:b w:val="false"/>
          <w:color w:val="000000"/>
          <w:sz w:val="20"/>
          <w:shd w:fill="FFFFFF" w:val="clear"/>
        </w:rPr>
        <w:t xml:space="preserve">The pivotal Phase 3 trial showed that ZILRETTA significantly reduced OA knee pain for 12 weeks, with some people experiencing pain relief through 16 weeks. </w:t>
      </w:r>
      <w:r>
        <w:rPr>
          <w:rFonts w:ascii="Times New Roman;serif" w:hAnsi="Times New Roman;serif"/>
          <w:b w:val="false"/>
          <w:color w:val="000000"/>
          <w:sz w:val="20"/>
        </w:rPr>
        <w:t>We believe that ZILRETTA has the potential to become the corticosteroid of choice given its safety and efficacy profile, and the fact that it is the first and only extended-release corticosteroid on the market. In August 2021, the American Association of Orthopaedic Surgeons, or AAOS, updated its evidence-based clinical practice guidelines, finding ZILRETTA can improve patient outcomes over traditional immediate-release corticosteroids.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iovera°</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iovera° system is a non-opioid, handheld cryoanalgesia device used to deliver precise, controlled doses of cold temperature to targeted nerves. It is FDA 510(k) cleared in the U.S., has a CE mark in the E.U., and is cleared for marketing in Canada for the blocking of pain. We believe that iovera° is highly complementary to EXPAREL and ZILRETTA as a non-opioid therapy that alleviates pain using a non-pharmacological nerve block to disrupt pain signals being transmitted to the brain from the site of injury or surgery. It is also indicated for the relief of pain and symptoms associated with arthritis of the knee for up to 90 days.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iovera° Clinical Benefits</w:t>
      </w:r>
    </w:p>
    <w:p>
      <w:pPr>
        <w:pStyle w:val="TextBody"/>
        <w:bidi w:val="0"/>
        <w:spacing w:before="0" w:after="0"/>
        <w:jc w:val="left"/>
        <w:rPr/>
      </w:pPr>
      <w:r>
        <w:rPr/>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is a growing body of clinical data demonstrating success with iovera° treatment for a wide range of chronic pain conditions. Some of our strongest data relates directly to the improvement of OA pain of the knee. In a pivotal trial evaluating iovera° for knee OA pain, the majority of the patients suffering from OA pain of the knee experienced pain relief up to 150 days after being treated with iovera°.</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Surgical intervention is typically a last resort for patients suffering from knee OA pain. Treatment with iovera° has demonstrated effectiveness for managing pain associated with knee replacements. Specifically, findings demonstrated reductions in opioids,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33</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daily morphine equivalent consumption in the per protocol group analysis was significantly lower at 72 hours (p&lt;0.05), 6 weeks (p&lt;0.05) and 12 weeks (p&lt;0.05).</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Patients who were administered iovera° were far less likely to take opioids six weeks after surgery. The number of patients taking opioids six weeks after total knee arthroplasty, or TKA, in the control group was three times the number of patients taking opioids in the cryoanalgesia group (14 percent vs. 44 percent, p&lt;0.01).</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Patients in the iovera° group demonstrated a statistically significant reduction in pain scores from their baseline pain scores at 72 hours (p&lt;0.05) and at 12 weeks (p&lt;0.05).</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believe these data validate iovera° as a clinically meaningful non-opioid alternative for patients with knee OA as well as those undergoing TKA, and that iovera° offers the opportunity to provide patients with non-opioid pain control well in advance of any necessary surgical intervention through a number of key product attributes:</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is safe and effective with immediate pain relief that can last for months as the nerve regenerates over time;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is repeatable, with no diminishing effectiveness over time and repeat use;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The iovera° technology does not risk damage to the surrounding tissue;</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is a convenient handheld device with a single-use procedure-specific Smart Tip; and</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iovera° can be delivered precisely using imaging guidance or an anatomical landmark.</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study published in 2021 that included 267 patients undergoing TKA (169 who underwent cryoneurolysis with iovera° compared to 98 patients who did not receive iovera° treatment) showed that patients who were treated with iovera° had 51% lower daily morphine milligram equivalents during their hospital stay and a 22% lower mean pain score versus those who were not. In addition, the iovera° group had greater function at discharge, a shorter length of hospital stay and received significantly fewer opioids, including discharge prescriptions at week 2 and week 6 after surgery.</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September 2021, the AAOS updated its evidence-based clinical practice guidelines, reporting that denervation therapy—including cryoneurolysis—may reduce knee pain and improve function in patients with symptomatic OA of the knee.</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December 2024, we received FDA clearance to market a new iovera° Smart Tip designed to access the medial branch nerves to manage chronic low back pain. Millions of Americans suffer from chronic low back pain. It often leads to poor quality of life, disability, lost wages, and persistent prescription opioid use. The first phase of the launch is underway with an initial focus on spine key opinion leaders to gather insights and feedback before expanding to a broader targeted audience. A pilot randomized control trial evaluating iovera° versus radiofrequency ablation for the treatment of lower back pain showed that iovera° had significantly greater improvements in pain and disability and required fewer injections over a year.</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Beyond treatment for pain, observational data has been presented at multiple congresses showing effectiveness of iovera° for the treatment of upper limb spasticity over 90 days by targeting motor nerves. We are advancing a registration trial to evaluate the efficacy and safety of iovera° for treating spasticity.</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Innovations in Genicular Outcomes Registry (IGOR)</w:t>
      </w:r>
    </w:p>
    <w:p>
      <w:pPr>
        <w:pStyle w:val="TextBody"/>
        <w:bidi w:val="0"/>
        <w:spacing w:lineRule="auto" w:line="288" w:before="0" w:after="1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sponsoring a prospective, real-world registry called the Innovations in Genicular Outcomes Registry, or IGOR, which is a patient-focused registry governed in collaboration with a steering committee of scientific experts that evaluates clinical, economic- and health-related patient-reported outcomes in patients who have received any treatment for knee OA pain, including TKA, for a minimum of 18 months. A unique feature of IGOR is that if patients receive additional treatments for OA, data capture resets so that outcomes of their treatment journey can be followed over multiple years. Unlike in clinical studies, treatment decisions in IGOR are decided by physicians and patients in a shared decision-making manner rather than being driven by treatment assignment, so that outcomes are truly those from real-world applications. The IGOR registry is tracking outcomes of iovera°, ZILRETTA and EXPAREL, as well as comparator treatments.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The Osteoarthritis Market</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OA is the most common form of arthritis. It is also called degenerative joint disease and occurs most frequently in the hands, hips and knees. With OA, the cartilage within a joint begins to break down and the underlying bone begins to change. These changes usually develop slowly and worsen over time. OA can cause pain, stiffness and swelling. In some cases, it also causes reduced function and disability—some people are no longer able to do daily tasks or work. According to the Centers for Disease Control and Prevention (CDC), OA affects over 32.5 million adults in the U.S.</w:t>
      </w:r>
    </w:p>
    <w:p>
      <w:pPr>
        <w:pStyle w:val="TextBody"/>
        <w:bidi w:val="0"/>
        <w:spacing w:lineRule="auto" w:line="288" w:before="0" w:after="1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lifetime risk of developing symptomatic knee OA is 45 percent according to the Arthritis Foundation. The prevalence of symptomatic knee OA increases with each decade of life, with the annual incidence of knee OA being highest between age 55 and 64 years old. There are 15 million individuals in the U.S. who have symptomatic knee OA, and nearly two million are under the age of 45. Surgical intervention is typically a last resort for patients suffering from OA of the knee.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34</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Clinicians have the flexibility to individualize OA knee pain treatment with either ZILRETTA or a drug-free nerve block with iovera° based on patient factors and preference, physician training, site of care and reimbursement considerations.</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The HCAd Vector Platform</w:t>
      </w:r>
    </w:p>
    <w:p>
      <w:pPr>
        <w:pStyle w:val="TextBody"/>
        <w:bidi w:val="0"/>
        <w:spacing w:lineRule="auto" w:line="288" w:before="100" w:after="283"/>
        <w:ind w:left="0" w:right="0" w:firstLine="446"/>
        <w:jc w:val="left"/>
        <w:rPr>
          <w:rFonts w:ascii="Times New Roman;serif" w:hAnsi="Times New Roman;serif"/>
          <w:b w:val="false"/>
          <w:color w:val="000000"/>
          <w:sz w:val="20"/>
        </w:rPr>
      </w:pPr>
      <w:r>
        <w:rPr>
          <w:rFonts w:ascii="Times New Roman;serif" w:hAnsi="Times New Roman;serif"/>
          <w:b w:val="false"/>
          <w:color w:val="000000"/>
          <w:sz w:val="20"/>
        </w:rPr>
        <w:t>Our proprietary HCAd vector platform solves many of the challenges in the field of genetic medicine that have prevented its utilization in treating common diseases like OA. Key features include:</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The HCAd vector is much more efficient at delivering genes into cells compared to many other gene therapies that rely on adenovirus associated virus, or AAV, vectors. As a result, the desired effect can be achieved with much smaller doses;</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The vector used in the HCAd platform can carry up to 30,000 base pairs of DNA, which enables gene therapy with multiple or larger genes compared to AAV vectors; and</w:t>
      </w:r>
    </w:p>
    <w:p>
      <w:pPr>
        <w:pStyle w:val="TextBody"/>
        <w:bidi w:val="0"/>
        <w:spacing w:lineRule="auto" w:line="288" w:before="100" w:after="283"/>
        <w:ind w:left="0" w:right="0" w:hanging="270"/>
        <w:jc w:val="left"/>
        <w:rPr/>
      </w:pPr>
      <w:r>
        <w:rPr>
          <w:color w:val="000000"/>
        </w:rPr>
        <w:t>•</w:t>
      </w:r>
      <w:r>
        <w:rPr>
          <w:rFonts w:ascii="Times New Roman;serif" w:hAnsi="Times New Roman;serif"/>
          <w:b w:val="false"/>
          <w:color w:val="000000"/>
          <w:sz w:val="20"/>
        </w:rPr>
        <w:t>Genetic medicines based on the HCAd platform can be administered locally and have the potential for redosing at therapeutically appropriate intervals.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Lower dose levels mean that thousands of doses can be produced in a single batch. As a result, we expect that any therapies built on the HCAd platform would have a commercially attractive and viable cost of goods profile.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Clinical Development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PCRX-201</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is the lead program from our HCAd platform and we believe it underscores its promise for treating common diseases given its encouraging data in OA. PCRX-201 is targeting the IL-1 pathway, which triggers inflammation in response to pathogens and cellular stress. IL-1Ra is a core regulator of this pathway and helps to keep inflammation in balance by turning off the IL-1 pathway when it’s not needed. As people get older, their bodies have a more challenging time maintaining that balance resulting in chronic IL-1-driven inflammation that eventually causes joint damage and pain.</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After injection of PCRX-201, the HCAd vector enters joint cells and turns them into factories to boost cellular IL-1Ra production, which blocks IL-1 pathway activation to reduce inflammation and pain in the knee. PCRX-201 uses an inflammation-responsive promoter to only produce IL-1Ra when needed, mimicking how the body naturally responds to inflammation. In a Phase 1 proof-of-concept study of patients with moderate to severe OA of the knee, PCRX-201 was well tolerated with improvements in knee pain observed across all doses. The study enrolled 72 patients who were broken into two cohorts. The first cohort received one of three doses of PCRX-201. The second cohort received concurrent pre-treatment with an IA corticosteroid (methylprednisolone 40 mg), a technique common in gene therapy dosing to improve tolerability and gene transfer. PCRX-201 was well tolerated, with efficacy observed through at least 52 weeks at all doses and cohorts. The highest level of efficacy was achieved in the co-administered steroid group, which showed a greater percentage of patients with at least a 50% improvement in Western Ontario and McMaster Universities Osteoarthritis Index (WOMAC) pain and stiffness scores, as well as a meaningful improvement in Knee Injury and Osteoarthritis Outcomes Score (KOOS) functional assessment. In all 3 doses, over 70% of patients saw a 50% or greater improvement in pain compared to baseline at week 16 and 78. PCRX-201 was well-tolerated with no serious treatment-emergent adverse events related to the treatment or procedure reported regardless of steroid pretreatment or dose level administered. While other therapies typically provide relief for three to six months, PCRX-201 has shown the potential to set a new standard with pain relief lasting at least 2 years from a single injection.</w:t>
      </w:r>
    </w:p>
    <w:p>
      <w:pPr>
        <w:pStyle w:val="TextBody"/>
        <w:bidi w:val="0"/>
        <w:spacing w:lineRule="auto" w:line="288" w:before="10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Given these highly encouraging Phase 1 data, we are advancing a Phase 2 clinical study in knee OA. The two-part, multicenter study—known as ASCEND—will involve approximately 135 patients, 45 to 80 years old with painful OA of the knee at a Kellgren-Lawrence (K-L) Grade of 2, 3 or 4. Subjects are randomly assigned to a treatment dose group and stratified by K-L Grade, a semiquantitative method for evaluating the severity of OA on a scale of 0-4.</w:t>
      </w:r>
    </w:p>
    <w:p>
      <w:pPr>
        <w:pStyle w:val="TextBody"/>
        <w:bidi w:val="0"/>
        <w:spacing w:lineRule="auto" w:line="288" w:before="100" w:after="283"/>
        <w:ind w:left="0" w:right="0" w:firstLine="450"/>
        <w:jc w:val="left"/>
        <w:rPr/>
      </w:pPr>
      <w:r>
        <w:rPr>
          <w:rFonts w:ascii="Times New Roman;serif" w:hAnsi="Times New Roman;serif"/>
          <w:b w:val="false"/>
          <w:color w:val="000000"/>
          <w:sz w:val="20"/>
        </w:rPr>
        <w:t>ASCEND will evaluate two doses of PCRX-201, Dose A is 1.4 x 10</w:t>
      </w: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genome copies and Dose B is 1.4 x 10</w:t>
      </w: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genome copies. Patients are being randomized 1:1:1 to Dose A, Dose B or saline. All cohorts will receive concurrent pretreatment with an IA corticosteroid (methylprednisolone 40 mg).</w:t>
      </w:r>
    </w:p>
    <w:p>
      <w:pPr>
        <w:pStyle w:val="TextBody"/>
        <w:bidi w:val="0"/>
        <w:spacing w:lineRule="auto" w:line="288" w:before="100" w:after="283"/>
        <w:ind w:left="0" w:right="0" w:firstLine="450"/>
        <w:jc w:val="left"/>
        <w:rPr/>
      </w:pPr>
      <w:r>
        <w:rPr>
          <w:rFonts w:ascii="Times New Roman;serif" w:hAnsi="Times New Roman;serif"/>
          <w:b w:val="false"/>
          <w:color w:val="000000"/>
          <w:sz w:val="20"/>
        </w:rPr>
        <w:t>We have completed patient enrollment in Part A of the study with a total of 49 patients randomized. We expect to initiate Part B of the study around the middle of 2026.</w:t>
      </w:r>
      <w:r>
        <w:rPr>
          <w:color w:val="000000"/>
        </w:rPr>
        <w:t xml:space="preserve"> </w:t>
      </w:r>
      <w:r>
        <w:rPr>
          <w:rFonts w:ascii="Times New Roman;serif" w:hAnsi="Times New Roman;serif"/>
          <w:b w:val="false"/>
          <w:color w:val="000000"/>
          <w:sz w:val="20"/>
        </w:rPr>
        <w:t>Part B will randomize approximately 90 patients. The drug product used in Part B of the study will be manufactured using our newly developed, suspension-based batch manufacturing process intended for commercial scale-up. We expect to report topline results from Part A of the ASCEND study before the end of 2026.</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For both Parts A and B of the study, the primary endpoint is the number and percent of treatment-emergent adverse events, adverse events of special interest, and serious adverse events for PCRX-201 plus steroid pretreatment versus saline plus steroid pretreatment from Week 1 through Week 52. The study’s secondary and exploratory endpoints include efficacy assessments such as changes in pain and physical function from baseline at Weeks 38 and 52. Efficacy will be measured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35</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Numerical Rating Scale (NRS), WOMAC and KOOS. Biomarkers, including structural endpoints, as well as immunogenicity and biodistribution will also be evaluated and all subjects will be followed for 5 years.</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PCRX-201 has received Regenerative Medicine Advanced Therapy, or RMAT, designation from the FDA and Advanced Therapy Medicinal Products, or ATMP, designation from the EMA. RMAT and ATMP are regulatory programs designed to expedite the development and review processes for promising therapies targeting a significant unmet need with preliminary clinical evidence indicating that the therapy has the potential to offer a major advantage over existing treatments.</w:t>
      </w:r>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Other HCAd Product Candidates</w:t>
      </w:r>
    </w:p>
    <w:p>
      <w:pPr>
        <w:pStyle w:val="TextBody"/>
        <w:bidi w:val="0"/>
        <w:spacing w:lineRule="auto" w:line="288" w:before="10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to PCRX-201, we currently have prioritized three other preclinical HCAd-based gene therapy programs that we believe have disease modifying potential in other painful conditions. These include Investigational New Drug (IND) enabling studies of PCRX-1002 for Dry Eye Disease and PCRX-1003 for Degenerative Disc Disease. We also intend to conduct animal studies for PCRX-1001, which we believe has out-licensing potential for OA in dogs and other companion animals.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PCRX-2002</w:t>
      </w:r>
    </w:p>
    <w:p>
      <w:pPr>
        <w:pStyle w:val="TextBody"/>
        <w:bidi w:val="0"/>
        <w:spacing w:lineRule="auto" w:line="288"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November 2025, we and AmacaThera, Inc., or AmacaThera, a clinical-stage biotechnology company specializing in drug delivery, announced an exclusive worldwide license agreement for the development and commercialization of PCRX-2002, an investigative hydrogel designed to deliver both rapid onset and a long-acting analgesia effect. A formulation of the non-opioid analgesic ropivacaine for postsurgical pain, PCRX-2002 is a slow-release, non-opioid local analgesic providing long-acting post-operative pain relief. It is administered via instillation at the time of the surgery and leverages AmacaThera’s innovative hydrogel platform, a fast-gelling physical hydrogel composed of two well-established polymers enabling slow-release while minimizing systemic side effects. It is delivered via a conventional syringe and rapidly forms a depot as it warms to body temperature. In a Phase 1 study, PCRX-2002 demonstrated sustained release of ropivacaine through 14 days. We and AmacaThera expect to initiate a Phase 2 program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36</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Product Portfolio and Internal Pipeline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current product portfolio and internal product candidate pipeline, along with anticipated milestones over the next 12 to 18 months, are summarized in the table below:</w:t>
      </w:r>
    </w:p>
    <w:p>
      <w:pPr>
        <w:pStyle w:val="TextBody"/>
        <w:bidi w:val="0"/>
        <w:spacing w:before="0" w:after="0"/>
        <w:jc w:val="left"/>
        <w:rPr/>
      </w:pPr>
      <w:r>
        <w:rPr/>
      </w:r>
    </w:p>
    <w:p>
      <w:pPr>
        <w:pStyle w:val="TextBody"/>
        <w:bidi w:val="0"/>
        <w:spacing w:before="0" w:after="0"/>
        <w:jc w:val="left"/>
        <w:rPr/>
      </w:pPr>
      <w:r>
        <w:rPr/>
        <w:drawing>
          <wp:inline distT="0" distB="0" distL="0" distR="0">
            <wp:extent cx="6858000" cy="5572125"/>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4"/>
                    <a:stretch>
                      <a:fillRect/>
                    </a:stretch>
                  </pic:blipFill>
                  <pic:spPr bwMode="auto">
                    <a:xfrm>
                      <a:off x="0" y="0"/>
                      <a:ext cx="6858000" cy="5572125"/>
                    </a:xfrm>
                    <a:prstGeom prst="rect">
                      <a:avLst/>
                    </a:prstGeom>
                  </pic:spPr>
                </pic:pic>
              </a:graphicData>
            </a:graphic>
          </wp:inline>
        </w:drawing>
      </w:r>
      <w:bookmarkStart w:id="2" w:name="i-2"/>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37</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Three Months Ended March 31, 2026 and 2025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net product sales are primarily within the U.S. and consist of EXPAREL, ZILRETTA, iovera° and sales of bupivacaine liposome injectable suspension for veterinary use. Royalty revenues are related to the sale of bupivacaine liposome injectable suspension for veterinary use.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revenues during the periods indicated, including percent changes (dollar amounts in thousands):</w:t>
      </w:r>
    </w:p>
    <w:tbl>
      <w:tblPr>
        <w:tblW w:w="9930" w:type="dxa"/>
        <w:jc w:val="left"/>
        <w:tblInd w:w="0" w:type="dxa"/>
        <w:tblLayout w:type="fixed"/>
        <w:tblCellMar>
          <w:top w:w="28" w:type="dxa"/>
          <w:left w:w="28" w:type="dxa"/>
          <w:bottom w:w="28" w:type="dxa"/>
          <w:right w:w="28" w:type="dxa"/>
        </w:tblCellMar>
      </w:tblPr>
      <w:tblGrid>
        <w:gridCol w:w="1358"/>
        <w:gridCol w:w="1193"/>
        <w:gridCol w:w="1198"/>
        <w:gridCol w:w="109"/>
        <w:gridCol w:w="109"/>
        <w:gridCol w:w="109"/>
        <w:gridCol w:w="109"/>
        <w:gridCol w:w="109"/>
        <w:gridCol w:w="109"/>
        <w:gridCol w:w="140"/>
        <w:gridCol w:w="466"/>
        <w:gridCol w:w="271"/>
        <w:gridCol w:w="1063"/>
        <w:gridCol w:w="140"/>
        <w:gridCol w:w="155"/>
        <w:gridCol w:w="155"/>
        <w:gridCol w:w="156"/>
        <w:gridCol w:w="350"/>
        <w:gridCol w:w="1373"/>
        <w:gridCol w:w="181"/>
        <w:gridCol w:w="109"/>
        <w:gridCol w:w="109"/>
        <w:gridCol w:w="109"/>
        <w:gridCol w:w="220"/>
        <w:gridCol w:w="220"/>
        <w:gridCol w:w="310"/>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5"/>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1077"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080" w:type="dxa"/>
            <w:gridSpan w:val="5"/>
            <w:vMerge w:val="continue"/>
            <w:tcBorders/>
            <w:shd w:fill="FFFFFF" w:val="clear"/>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1077" w:type="dxa"/>
            <w:gridSpan w:val="6"/>
            <w:tcBorders/>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EXPAREL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ZILRETTA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iovera°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167,594 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168,923 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EXPAREL revenue increased 5% in the three months ended March 31, 2026 versus 2025. Components of the increase included 7% increase in gross vial volume, partially offset by a shift in product mix, and approximately a 1% lower net selling price as group purchasing organization contracting discounts more than offset a price increase.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ZILRETTA revenue increased 15% in the three months ended March 31, 2026 versus 2025 due to an 11% increase in kit volume and a 3% increase in net selling price primarily due to price increases, partially offset by higher customer discounting.</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Net product sales of iovera° increased 21% in the three months ended March 31, 2026 versus 2025, driven by increases in Smart Tip volume of 27%, partially offset by decreases in Smart Tip net selling price of 4%.</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Bupivacaine liposome injectable suspension revenue decreased 55% in the three months ended March 31, 2026 versus 2025, due to timing of orders placed by our commercial partner for veterinary use. Its related royalties decreased 100% in the three months ended March 31, 2026 versus 2025, due to the product mix.</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activity with respect to our sales-related allowances and accruals related to EXPAREL and ZILRETTA for the three months ended March 31, 2026 and 2025 (in thousands):</w:t>
      </w:r>
    </w:p>
    <w:tbl>
      <w:tblPr>
        <w:tblW w:w="10205" w:type="dxa"/>
        <w:jc w:val="center"/>
        <w:tblInd w:w="0" w:type="dxa"/>
        <w:tblLayout w:type="fixed"/>
        <w:tblCellMar>
          <w:top w:w="28" w:type="dxa"/>
          <w:left w:w="28" w:type="dxa"/>
          <w:bottom w:w="28" w:type="dxa"/>
          <w:right w:w="28" w:type="dxa"/>
        </w:tblCellMar>
      </w:tblPr>
      <w:tblGrid>
        <w:gridCol w:w="560"/>
        <w:gridCol w:w="367"/>
        <w:gridCol w:w="322"/>
        <w:gridCol w:w="109"/>
        <w:gridCol w:w="109"/>
        <w:gridCol w:w="109"/>
        <w:gridCol w:w="249"/>
        <w:gridCol w:w="727"/>
        <w:gridCol w:w="128"/>
        <w:gridCol w:w="109"/>
        <w:gridCol w:w="109"/>
        <w:gridCol w:w="109"/>
        <w:gridCol w:w="266"/>
        <w:gridCol w:w="778"/>
        <w:gridCol w:w="137"/>
        <w:gridCol w:w="109"/>
        <w:gridCol w:w="109"/>
        <w:gridCol w:w="109"/>
        <w:gridCol w:w="214"/>
        <w:gridCol w:w="626"/>
        <w:gridCol w:w="110"/>
        <w:gridCol w:w="109"/>
        <w:gridCol w:w="109"/>
        <w:gridCol w:w="109"/>
        <w:gridCol w:w="331"/>
        <w:gridCol w:w="970"/>
        <w:gridCol w:w="172"/>
        <w:gridCol w:w="109"/>
        <w:gridCol w:w="109"/>
        <w:gridCol w:w="109"/>
        <w:gridCol w:w="268"/>
        <w:gridCol w:w="784"/>
        <w:gridCol w:w="139"/>
        <w:gridCol w:w="109"/>
        <w:gridCol w:w="109"/>
        <w:gridCol w:w="109"/>
        <w:gridCol w:w="211"/>
        <w:gridCol w:w="721"/>
        <w:gridCol w:w="163"/>
      </w:tblGrid>
      <w:tr>
        <w:trPr/>
        <w:tc>
          <w:tcPr>
            <w:tcW w:w="5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Payment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Rebates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Government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(46,638)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(59,459)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0"/>
        <w:gridCol w:w="367"/>
        <w:gridCol w:w="322"/>
        <w:gridCol w:w="109"/>
        <w:gridCol w:w="109"/>
        <w:gridCol w:w="109"/>
        <w:gridCol w:w="249"/>
        <w:gridCol w:w="727"/>
        <w:gridCol w:w="128"/>
        <w:gridCol w:w="109"/>
        <w:gridCol w:w="109"/>
        <w:gridCol w:w="109"/>
        <w:gridCol w:w="266"/>
        <w:gridCol w:w="778"/>
        <w:gridCol w:w="137"/>
        <w:gridCol w:w="109"/>
        <w:gridCol w:w="109"/>
        <w:gridCol w:w="109"/>
        <w:gridCol w:w="214"/>
        <w:gridCol w:w="626"/>
        <w:gridCol w:w="110"/>
        <w:gridCol w:w="109"/>
        <w:gridCol w:w="109"/>
        <w:gridCol w:w="109"/>
        <w:gridCol w:w="331"/>
        <w:gridCol w:w="970"/>
        <w:gridCol w:w="172"/>
        <w:gridCol w:w="109"/>
        <w:gridCol w:w="109"/>
        <w:gridCol w:w="109"/>
        <w:gridCol w:w="268"/>
        <w:gridCol w:w="784"/>
        <w:gridCol w:w="139"/>
        <w:gridCol w:w="109"/>
        <w:gridCol w:w="109"/>
        <w:gridCol w:w="109"/>
        <w:gridCol w:w="211"/>
        <w:gridCol w:w="721"/>
        <w:gridCol w:w="163"/>
      </w:tblGrid>
      <w:tr>
        <w:trPr/>
        <w:tc>
          <w:tcPr>
            <w:tcW w:w="56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Returns Allowances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Prompt Payment Discounts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Service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Rebates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Government Rebates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(47,058)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12,224 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38</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reductions of gross product sales from sales-related allowances and accruals were $59.6 million and $44.9 million, or 25.1% and 21.1% of gross product sales, for the three months ended March 31, 2026 and 2025, respectively. The overall 4.0% increase in sales-related allowances and accruals as a percentage of gross product sales was primarily related to accruals as a result of higher chargeback-related allowances from expanded contracting efforts and increased product returns due to weather-related disruptions.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Cost of Goods Sold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primarily relates to the costs to produce, package and deliver our products to customers. These expenses include labor, raw materials, manufacturing overhead and occupancy costs, depreciation of facilities, quality control and engineering.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cost of goods sold and gross margin during the periods indicated, including percent changes (dollar amounts in thousands):</w:t>
      </w:r>
    </w:p>
    <w:tbl>
      <w:tblPr>
        <w:tblW w:w="7448" w:type="dxa"/>
        <w:jc w:val="left"/>
        <w:tblInd w:w="0" w:type="dxa"/>
        <w:tblLayout w:type="fixed"/>
        <w:tblCellMar>
          <w:top w:w="28" w:type="dxa"/>
          <w:left w:w="28" w:type="dxa"/>
          <w:bottom w:w="28" w:type="dxa"/>
          <w:right w:w="28" w:type="dxa"/>
        </w:tblCellMar>
      </w:tblPr>
      <w:tblGrid>
        <w:gridCol w:w="613"/>
        <w:gridCol w:w="539"/>
        <w:gridCol w:w="542"/>
        <w:gridCol w:w="109"/>
        <w:gridCol w:w="109"/>
        <w:gridCol w:w="109"/>
        <w:gridCol w:w="109"/>
        <w:gridCol w:w="109"/>
        <w:gridCol w:w="109"/>
        <w:gridCol w:w="236"/>
        <w:gridCol w:w="466"/>
        <w:gridCol w:w="457"/>
        <w:gridCol w:w="236"/>
        <w:gridCol w:w="588"/>
        <w:gridCol w:w="155"/>
        <w:gridCol w:w="155"/>
        <w:gridCol w:w="156"/>
        <w:gridCol w:w="679"/>
        <w:gridCol w:w="351"/>
        <w:gridCol w:w="874"/>
        <w:gridCol w:w="109"/>
        <w:gridCol w:w="109"/>
        <w:gridCol w:w="109"/>
        <w:gridCol w:w="123"/>
        <w:gridCol w:w="123"/>
        <w:gridCol w:w="17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5"/>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747"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83" w:type="dxa"/>
            <w:gridSpan w:val="5"/>
            <w:vMerge w:val="continue"/>
            <w:tcBorders/>
            <w:shd w:fill="FFFFFF" w:val="clear"/>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747" w:type="dxa"/>
            <w:gridSpan w:val="6"/>
            <w:tcBorders/>
          </w:tcPr>
          <w:p>
            <w:pPr>
              <w:pStyle w:val="TableContents"/>
              <w:bidi w:val="0"/>
              <w:spacing w:before="0" w:after="283"/>
              <w:jc w:val="left"/>
              <w:rPr>
                <w:sz w:val="4"/>
                <w:szCs w:val="4"/>
              </w:rPr>
            </w:pPr>
            <w:r>
              <w:rPr>
                <w:sz w:val="4"/>
                <w:szCs w:val="4"/>
              </w:rPr>
            </w:r>
          </w:p>
        </w:tc>
      </w:tr>
      <w:tr>
        <w:trPr/>
        <w:tc>
          <w:tcPr>
            <w:tcW w:w="1694"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Cost of goods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36,413</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Gross margin decreased 1% percentage point in the three months ended March 31, 2026 versus 2025 due to higher EXPAREL product costs resulting from lower production volumes. Production volumes were higher in the prior year in order to achieve higher inventory levels to meet increased demand.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Research and development, or R&amp;D, expenses primarily consist of costs related to clinical trials and related outside services, product development and other R&amp;D costs, including trials that we are conducting to generate new data for EXPAREL, ZILRETTA and iovera°, clinical trials for PCRX-201 and PCRX-2002 and stock-based compensation expense. Clinical and preclinical development expenses include costs for clinical personnel, clinical trials performed by third-parties, toxicology studies, materials and supplies, database management and other third-party fees. Product development and manufacturing capacity expansion expenses include development costs for our products, which include personnel, research equipment, materials and contractor costs for process development and product candidates, development costs related to significant scale-ups of our manufacturing capacity and facility costs for our research space. Regulatory and other expenses include regulatory activities related to unapproved products and indications, medical information and scientific communication expenses, expenses related to our IGOR registry study and related personnel. Stock-based compensation expense relates to the costs of stock option grants, awards of restricted stock units, or RSUs, and performance share units, or PSUs, and our employee stock purchase plan, or ESPP. Additionally, as part of the acquisition of GQ Bio Therapeutics GmbH, or GQ Bio, in February 2025 (the “GQ Bio Acquisition”), expenses related to a key employee holdback are also included in R&amp;D.</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breakout of our R&amp;D expenses during the periods indicated, including percent changes (dollar amounts in thousands):</w:t>
      </w:r>
    </w:p>
    <w:tbl>
      <w:tblPr>
        <w:tblW w:w="9398" w:type="dxa"/>
        <w:jc w:val="left"/>
        <w:tblInd w:w="0" w:type="dxa"/>
        <w:tblLayout w:type="fixed"/>
        <w:tblCellMar>
          <w:top w:w="28" w:type="dxa"/>
          <w:left w:w="28" w:type="dxa"/>
          <w:bottom w:w="28" w:type="dxa"/>
          <w:right w:w="28" w:type="dxa"/>
        </w:tblCellMar>
      </w:tblPr>
      <w:tblGrid>
        <w:gridCol w:w="1240"/>
        <w:gridCol w:w="1087"/>
        <w:gridCol w:w="1092"/>
        <w:gridCol w:w="109"/>
        <w:gridCol w:w="109"/>
        <w:gridCol w:w="109"/>
        <w:gridCol w:w="109"/>
        <w:gridCol w:w="109"/>
        <w:gridCol w:w="109"/>
        <w:gridCol w:w="236"/>
        <w:gridCol w:w="466"/>
        <w:gridCol w:w="457"/>
        <w:gridCol w:w="236"/>
        <w:gridCol w:w="588"/>
        <w:gridCol w:w="155"/>
        <w:gridCol w:w="155"/>
        <w:gridCol w:w="156"/>
        <w:gridCol w:w="679"/>
        <w:gridCol w:w="351"/>
        <w:gridCol w:w="874"/>
        <w:gridCol w:w="109"/>
        <w:gridCol w:w="109"/>
        <w:gridCol w:w="109"/>
        <w:gridCol w:w="189"/>
        <w:gridCol w:w="189"/>
        <w:gridCol w:w="267"/>
      </w:tblGrid>
      <w:tr>
        <w:trPr/>
        <w:tc>
          <w:tcPr>
            <w:tcW w:w="1240"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972"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83" w:type="dxa"/>
            <w:gridSpan w:val="5"/>
            <w:vMerge w:val="continue"/>
            <w:tcBorders/>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972" w:type="dxa"/>
            <w:gridSpan w:val="6"/>
            <w:tcBorders/>
          </w:tcPr>
          <w:p>
            <w:pPr>
              <w:pStyle w:val="TableContents"/>
              <w:bidi w:val="0"/>
              <w:spacing w:before="0" w:after="283"/>
              <w:jc w:val="left"/>
              <w:rPr>
                <w:sz w:val="4"/>
                <w:szCs w:val="4"/>
              </w:rPr>
            </w:pPr>
            <w:r>
              <w:rPr>
                <w:sz w:val="4"/>
                <w:szCs w:val="4"/>
              </w:rPr>
            </w:r>
          </w:p>
        </w:tc>
      </w:tr>
      <w:tr>
        <w:trPr/>
        <w:tc>
          <w:tcPr>
            <w:tcW w:w="3419"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preclinical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3,047</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28,072</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R&amp;D expense increased 11% in the three months ended March 31, 2026 versus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39</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Clinical and preclinical development expense increased 2% in the three months ended March 31, 2026 versus 2025 due to the ongoing enrollment in our ZILRETTA shoulder trial, the EXPAREL pediatric trial and the iovera° spasticity trial, as well as increased Investigator Initiated Trial (IIT) milestones achieved, start-up expenses related to a PCRX-2002 Phase 2 program and additional personnel to support clinical initiatives. These increases were partially offset by the completion of patient enrollment in Part A of our PCRX-201 Phase 2 ASCEND trial for knee OA and completion of an EXPAREL Phase 1 trial for intrathecal administration.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 increased 28% in the three months ended March 31, 2026 versus 2025 include investing in our HCAd platform—primarily for the PCRX-201 program. In addition, we recorded $0.9 million in the three months ended March 31, 2026 related to a key employee holdback from the GQ Bio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Regulatory and other expense increased 26% in the three months ended March 31, 2026 versus 2025 due to increased publication activities which are largely health economics and outcome studies, as well as additional subjects enrolled in the IGOR registry study.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decreased 18% in the three months ended March 31, 2026 versus 2025 primarily due to the forfeiture of equity awards in the current period.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compensation and benefits for our sales force and personnel that support our commercial, sales, marketing, medical and scientific affairs operations, and insights and analytics. They also include expenses related to the commercialization of our products—including marketing, health outcome communications, provider-level market access, patient reimbursement support and customer educational programs. General and administrative expenses consist of compensation and benefits for legal, finance, regulatory activities related to approved products and indications, compliance, information technology, human resources, business development, executive management and other supporting personnel. It also includes professional fees for legal, audit, tax and consulting services. Stock-based compensation expense relates to the costs of stock option grants, awards of RSUs, PSUs and our ESPP.</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selling, general and administrative expenses during the periods indicated, including percent changes (dollar amounts in thousands):</w:t>
      </w:r>
    </w:p>
    <w:tbl>
      <w:tblPr>
        <w:tblW w:w="9983" w:type="dxa"/>
        <w:jc w:val="left"/>
        <w:tblInd w:w="0" w:type="dxa"/>
        <w:tblLayout w:type="fixed"/>
        <w:tblCellMar>
          <w:top w:w="28" w:type="dxa"/>
          <w:left w:w="28" w:type="dxa"/>
          <w:bottom w:w="28" w:type="dxa"/>
          <w:right w:w="28" w:type="dxa"/>
        </w:tblCellMar>
      </w:tblPr>
      <w:tblGrid>
        <w:gridCol w:w="1486"/>
        <w:gridCol w:w="1308"/>
        <w:gridCol w:w="1316"/>
        <w:gridCol w:w="109"/>
        <w:gridCol w:w="109"/>
        <w:gridCol w:w="109"/>
        <w:gridCol w:w="109"/>
        <w:gridCol w:w="109"/>
        <w:gridCol w:w="109"/>
        <w:gridCol w:w="236"/>
        <w:gridCol w:w="466"/>
        <w:gridCol w:w="457"/>
        <w:gridCol w:w="236"/>
        <w:gridCol w:w="588"/>
        <w:gridCol w:w="155"/>
        <w:gridCol w:w="155"/>
        <w:gridCol w:w="156"/>
        <w:gridCol w:w="679"/>
        <w:gridCol w:w="351"/>
        <w:gridCol w:w="874"/>
        <w:gridCol w:w="109"/>
        <w:gridCol w:w="109"/>
        <w:gridCol w:w="109"/>
        <w:gridCol w:w="158"/>
        <w:gridCol w:w="158"/>
        <w:gridCol w:w="223"/>
      </w:tblGrid>
      <w:tr>
        <w:trPr/>
        <w:tc>
          <w:tcPr>
            <w:tcW w:w="1486"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5"/>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866"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83" w:type="dxa"/>
            <w:gridSpan w:val="5"/>
            <w:vMerge w:val="continue"/>
            <w:tcBorders/>
            <w:shd w:fill="FFFFFF" w:val="clear"/>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866"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58,166</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25,712</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93,944</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110" w:type="dxa"/>
            <w:gridSpan w:val="3"/>
            <w:tcBorders>
              <w:left w:val="single" w:sz="8" w:space="0" w:color="FFFFFF"/>
              <w:bottom w:val="single" w:sz="8" w:space="0" w:color="FFFFFF"/>
            </w:tcBorders>
            <w:shd w:fill="CCEEFF" w:val="clear"/>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of 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5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Total selling, general and administrative expense increased 8% in the three months ended March 31, 2026 versus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increased 5% in the three months ended March 31, 2026 versus 2025 driven by expanding our marketing, market access and reimbursement teams to strengthen our key commercial capabilities and expand product utilization.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25% in the three months ended March 31, 2026 versus 2025 primarily driven by a recovery of $5.2 million in legal expenses related to litigation pertaining to the acquisition of MyoScience, Inc. (which occurred in April 2019), during the three months ended March 31, 2025.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decreased 5% for the three months ended March 31, 2026 versus 2025, primarily due to the prior year equity compensation related our former Chief Executive Officer whose post-employment consulting services ceased in August 2025.</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we received two separate Paragraph IV Certifications from two Chinese generic drug manufacturers—The WhiteOak Group, Inc., or WhiteOak, of Rockville, Maryland (a subsidiary of Zhejiang Haichang Biotechnology Co., Ltd.) and Qilu Pharmaceutical (Hainan) Co., Ltd., or Qilu—each advising that they had submitted an Abbreviated New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40</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80"/>
        <w:jc w:val="left"/>
        <w:rPr/>
      </w:pPr>
      <w:r>
        <w:rPr>
          <w:rFonts w:ascii="Times New Roman;serif" w:hAnsi="Times New Roman;serif"/>
          <w:b w:val="false"/>
          <w:color w:val="000000"/>
          <w:sz w:val="20"/>
        </w:rPr>
        <w:t xml:space="preserve">Application (ANDA) to the FDA seeking authorization from the FDA to manufacture, use or sell a generic version of EXPAREL in the U.S. In November 2025, we filed a patent infringement suit against WhiteOak and Qilu. As a result, we have incurred and expect to continue to incur additional legal costs to defend our intellectual property, although we cannot predict the extent of costs or the outcome of this matter at this time. For more information, see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 condensed consolidated financial statements included herein.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 addition, we expect to incur additional costs within general and administrative expenses in the second quarter of 2026 related to the solicitation of proxies in connection with a contested election of directors at our 2026 annual meeting of stockholders that we would not otherwise typically incur in the absence of a contested election.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 Assets</w:t>
      </w:r>
    </w:p>
    <w:p>
      <w:pPr>
        <w:pStyle w:val="TextBody"/>
        <w:bidi w:val="0"/>
        <w:spacing w:lineRule="auto" w:line="288" w:before="180" w:after="20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amortization of acquired intangible assets during the periods indicated, including percent changes (dollar amounts in thousands):</w:t>
      </w:r>
    </w:p>
    <w:tbl>
      <w:tblPr>
        <w:tblW w:w="9530" w:type="dxa"/>
        <w:jc w:val="left"/>
        <w:tblInd w:w="0" w:type="dxa"/>
        <w:tblLayout w:type="fixed"/>
        <w:tblCellMar>
          <w:top w:w="28" w:type="dxa"/>
          <w:left w:w="28" w:type="dxa"/>
          <w:bottom w:w="28" w:type="dxa"/>
          <w:right w:w="28" w:type="dxa"/>
        </w:tblCellMar>
      </w:tblPr>
      <w:tblGrid>
        <w:gridCol w:w="1287"/>
        <w:gridCol w:w="1131"/>
        <w:gridCol w:w="1136"/>
        <w:gridCol w:w="109"/>
        <w:gridCol w:w="109"/>
        <w:gridCol w:w="109"/>
        <w:gridCol w:w="109"/>
        <w:gridCol w:w="109"/>
        <w:gridCol w:w="109"/>
        <w:gridCol w:w="152"/>
        <w:gridCol w:w="466"/>
        <w:gridCol w:w="294"/>
        <w:gridCol w:w="1005"/>
        <w:gridCol w:w="152"/>
        <w:gridCol w:w="155"/>
        <w:gridCol w:w="155"/>
        <w:gridCol w:w="156"/>
        <w:gridCol w:w="386"/>
        <w:gridCol w:w="1320"/>
        <w:gridCol w:w="199"/>
        <w:gridCol w:w="109"/>
        <w:gridCol w:w="109"/>
        <w:gridCol w:w="109"/>
        <w:gridCol w:w="162"/>
        <w:gridCol w:w="162"/>
        <w:gridCol w:w="231"/>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882" w:type="dxa"/>
            <w:gridSpan w:val="6"/>
            <w:tcBorders/>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069" w:type="dxa"/>
            <w:gridSpan w:val="5"/>
            <w:vMerge w:val="continue"/>
            <w:tcBorders/>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5"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882" w:type="dxa"/>
            <w:gridSpan w:val="6"/>
            <w:tcBorders/>
          </w:tcPr>
          <w:p>
            <w:pPr>
              <w:pStyle w:val="TableContents"/>
              <w:bidi w:val="0"/>
              <w:spacing w:before="0" w:after="283"/>
              <w:jc w:val="left"/>
              <w:rPr>
                <w:sz w:val="4"/>
                <w:szCs w:val="4"/>
              </w:rPr>
            </w:pPr>
            <w:r>
              <w:rPr>
                <w:sz w:val="4"/>
                <w:szCs w:val="4"/>
              </w:rPr>
            </w:r>
          </w:p>
        </w:tc>
      </w:tr>
      <w:tr>
        <w:trPr/>
        <w:tc>
          <w:tcPr>
            <w:tcW w:w="3554"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5"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160"/>
        <w:ind w:left="0" w:right="0" w:firstLine="450"/>
        <w:jc w:val="left"/>
        <w:rPr/>
      </w:pPr>
      <w:r>
        <w:rPr>
          <w:rFonts w:ascii="Times New Roman;serif" w:hAnsi="Times New Roman;serif"/>
          <w:b w:val="false"/>
          <w:color w:val="000000"/>
          <w:sz w:val="20"/>
        </w:rPr>
        <w:t xml:space="preserve">As part of the acquisitions of Flexion Therapeutics, Inc., or Flexion, (in 2021) and MyoScience, Inc. (in 2019), we acquired intangible assets consisting of developed technology intangible assets and customer relationships, with estimated useful lives between 9 and 14 years. For more information, see Note 7, </w:t>
      </w:r>
      <w:r>
        <w:rPr>
          <w:rFonts w:ascii="Times New Roman;serif" w:hAnsi="Times New Roman;serif"/>
          <w:b w:val="false"/>
          <w:i/>
          <w:color w:val="000000"/>
          <w:sz w:val="20"/>
        </w:rPr>
        <w:t>Goodwill and Intangible Assets</w:t>
      </w:r>
      <w:r>
        <w:rPr>
          <w:rFonts w:ascii="Times New Roman;serif" w:hAnsi="Times New Roman;serif"/>
          <w:b w:val="false"/>
          <w:color w:val="000000"/>
          <w:sz w:val="20"/>
        </w:rPr>
        <w:t>, to our condensed consolidated financial statements included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Other Operating (Gains) Expenses, Net</w:t>
      </w:r>
    </w:p>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costs related to the other operating (gains) expenses, net during the periods indicated, including percent changes (dollar amounts in thousands):</w:t>
      </w:r>
    </w:p>
    <w:tbl>
      <w:tblPr>
        <w:tblW w:w="9735" w:type="dxa"/>
        <w:jc w:val="left"/>
        <w:tblInd w:w="0" w:type="dxa"/>
        <w:tblLayout w:type="fixed"/>
        <w:tblCellMar>
          <w:top w:w="28" w:type="dxa"/>
          <w:left w:w="28" w:type="dxa"/>
          <w:bottom w:w="28" w:type="dxa"/>
          <w:right w:w="28" w:type="dxa"/>
        </w:tblCellMar>
      </w:tblPr>
      <w:tblGrid>
        <w:gridCol w:w="1294"/>
        <w:gridCol w:w="1137"/>
        <w:gridCol w:w="1139"/>
        <w:gridCol w:w="109"/>
        <w:gridCol w:w="109"/>
        <w:gridCol w:w="109"/>
        <w:gridCol w:w="109"/>
        <w:gridCol w:w="109"/>
        <w:gridCol w:w="109"/>
        <w:gridCol w:w="155"/>
        <w:gridCol w:w="466"/>
        <w:gridCol w:w="301"/>
        <w:gridCol w:w="987"/>
        <w:gridCol w:w="155"/>
        <w:gridCol w:w="155"/>
        <w:gridCol w:w="155"/>
        <w:gridCol w:w="156"/>
        <w:gridCol w:w="397"/>
        <w:gridCol w:w="1302"/>
        <w:gridCol w:w="205"/>
        <w:gridCol w:w="109"/>
        <w:gridCol w:w="109"/>
        <w:gridCol w:w="109"/>
        <w:gridCol w:w="219"/>
        <w:gridCol w:w="219"/>
        <w:gridCol w:w="312"/>
      </w:tblGrid>
      <w:tr>
        <w:trPr/>
        <w:tc>
          <w:tcPr>
            <w:tcW w:w="129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1077"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064" w:type="dxa"/>
            <w:gridSpan w:val="5"/>
            <w:vMerge w:val="continue"/>
            <w:tcBorders/>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1077" w:type="dxa"/>
            <w:gridSpan w:val="6"/>
            <w:tcBorders/>
          </w:tcPr>
          <w:p>
            <w:pPr>
              <w:pStyle w:val="TableContents"/>
              <w:bidi w:val="0"/>
              <w:spacing w:before="0" w:after="283"/>
              <w:jc w:val="left"/>
              <w:rPr>
                <w:sz w:val="4"/>
                <w:szCs w:val="4"/>
              </w:rPr>
            </w:pPr>
            <w:r>
              <w:rPr>
                <w:sz w:val="4"/>
                <w:szCs w:val="4"/>
              </w:rPr>
            </w:r>
          </w:p>
        </w:tc>
      </w:tr>
      <w:tr>
        <w:trPr/>
        <w:tc>
          <w:tcPr>
            <w:tcW w:w="3570"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(gains)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8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total other operating (gains) expenses, net included net gains of $2.3 million and net charges of $6.2 million, respectively.</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we recognized contingent consideration gains of $2.3 million due to a reduction in the sales forecast reflecting the probability of achieving our remaining Flexion sales-based milestones by December 31, 2030 (the milestone expiration date), and revisions to the latest discount rates. During the three months ended March 31, 2025, we recognized a contingent consideration gain of $2.7 million primarily due to revisions to the latest discount rates.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recognized acquisition-related expenses of $1.5 million primarily related to legal expenses and third-party consulting fees associated with the GQ Bio Acquisition.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recognized legal settlement costs of $7.0 million related to the settlement of the patent infringement suits against eVenus Pharmaceutical Laboratories, Inc., its parent company—Jiangsu Hengrui Pharmaceuticals, Co. Ltd., and Fresenius Kabi USA, LLC.</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For more information on these events, see Note 10, </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 xml:space="preserve">Note 15, </w:t>
      </w:r>
      <w:r>
        <w:rPr>
          <w:rFonts w:ascii="Times New Roman;serif" w:hAnsi="Times New Roman;serif"/>
          <w:b w:val="false"/>
          <w:i/>
          <w:color w:val="000000"/>
          <w:sz w:val="20"/>
        </w:rPr>
        <w:t xml:space="preserve">Other Operating (Gains) Expenses, Net </w:t>
      </w:r>
      <w:r>
        <w:rPr>
          <w:rFonts w:ascii="Times New Roman;serif" w:hAnsi="Times New Roman;serif"/>
          <w:b w:val="false"/>
          <w:color w:val="000000"/>
          <w:sz w:val="20"/>
        </w:rPr>
        <w:t xml:space="preserve">and Note 16,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included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41</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Other (Expense) Income, Net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other income, net during the periods indicated, including percent changes (dollar amounts in thousands):</w:t>
      </w:r>
    </w:p>
    <w:tbl>
      <w:tblPr>
        <w:tblW w:w="8894" w:type="dxa"/>
        <w:jc w:val="left"/>
        <w:tblInd w:w="0" w:type="dxa"/>
        <w:tblLayout w:type="fixed"/>
        <w:tblCellMar>
          <w:top w:w="28" w:type="dxa"/>
          <w:left w:w="28" w:type="dxa"/>
          <w:bottom w:w="28" w:type="dxa"/>
          <w:right w:w="28" w:type="dxa"/>
        </w:tblCellMar>
      </w:tblPr>
      <w:tblGrid>
        <w:gridCol w:w="1027"/>
        <w:gridCol w:w="900"/>
        <w:gridCol w:w="908"/>
        <w:gridCol w:w="109"/>
        <w:gridCol w:w="109"/>
        <w:gridCol w:w="109"/>
        <w:gridCol w:w="109"/>
        <w:gridCol w:w="109"/>
        <w:gridCol w:w="109"/>
        <w:gridCol w:w="155"/>
        <w:gridCol w:w="466"/>
        <w:gridCol w:w="301"/>
        <w:gridCol w:w="987"/>
        <w:gridCol w:w="155"/>
        <w:gridCol w:w="155"/>
        <w:gridCol w:w="155"/>
        <w:gridCol w:w="156"/>
        <w:gridCol w:w="429"/>
        <w:gridCol w:w="1253"/>
        <w:gridCol w:w="222"/>
        <w:gridCol w:w="109"/>
        <w:gridCol w:w="109"/>
        <w:gridCol w:w="109"/>
        <w:gridCol w:w="188"/>
        <w:gridCol w:w="188"/>
        <w:gridCol w:w="268"/>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FFFFFF"/>
              <w:left w:val="single" w:sz="8" w:space="0" w:color="FFFFFF"/>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4" w:type="dxa"/>
            <w:gridSpan w:val="5"/>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971"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2064" w:type="dxa"/>
            <w:gridSpan w:val="5"/>
            <w:vMerge w:val="continue"/>
            <w:tcBorders/>
            <w:shd w:fill="FFFFFF" w:val="clear"/>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971" w:type="dxa"/>
            <w:gridSpan w:val="6"/>
            <w:tcBorders/>
          </w:tcPr>
          <w:p>
            <w:pPr>
              <w:pStyle w:val="TableContents"/>
              <w:bidi w:val="0"/>
              <w:spacing w:before="0" w:after="283"/>
              <w:jc w:val="left"/>
              <w:rPr>
                <w:sz w:val="4"/>
                <w:szCs w:val="4"/>
              </w:rPr>
            </w:pPr>
            <w:r>
              <w:rPr>
                <w:sz w:val="4"/>
                <w:szCs w:val="4"/>
              </w:rPr>
            </w:r>
          </w:p>
        </w:tc>
      </w:tr>
      <w:tr>
        <w:trPr/>
        <w:tc>
          <w:tcPr>
            <w:tcW w:w="2835" w:type="dxa"/>
            <w:gridSpan w:val="3"/>
            <w:tcBorders>
              <w:left w:val="single" w:sz="8" w:space="0" w:color="FFFFFF"/>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4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4"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835" w:type="dxa"/>
            <w:gridSpan w:val="3"/>
            <w:tcBorders>
              <w:left w:val="single" w:sz="8" w:space="0" w:color="FFFFFF"/>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total other (expense) income, net included other expense, net of $1.9 million and other income, net of $6.7 million, respectively.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income decreased 72% in the three months ended March 31, 2026 versus 2025 due to interest realized in the prior year on a GQ Bio note receivable investment we had made prior to the GQ Bio Acquisition as well as lower overall investment balances and interest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Interest expense decreased 19% in the three months ended March 31, 2026 versus 2025 primarily due to lower outstanding principal driven by the repayment of the 2025 Notes (as defined herein) in the third quarter of 2025. For more information, see Note 9, Debt, to our condensed consolidated financial statements included herein.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$4.4 million of other net income during the three months ended March 31, 2025 was primarily due to a realized gain associated with a previously acquired equity investment in GQ Bio that increased in fair value resulting from the GQ Bio Acquisition. For more information, see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to our condensed consolidated financial statements included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income tax expense during the periods indicated, including percent changes (dollar amounts in thousands):</w:t>
      </w:r>
    </w:p>
    <w:tbl>
      <w:tblPr>
        <w:tblW w:w="8362" w:type="dxa"/>
        <w:jc w:val="left"/>
        <w:tblInd w:w="0" w:type="dxa"/>
        <w:tblLayout w:type="fixed"/>
        <w:tblCellMar>
          <w:top w:w="28" w:type="dxa"/>
          <w:left w:w="28" w:type="dxa"/>
          <w:bottom w:w="28" w:type="dxa"/>
          <w:right w:w="28" w:type="dxa"/>
        </w:tblCellMar>
      </w:tblPr>
      <w:tblGrid>
        <w:gridCol w:w="863"/>
        <w:gridCol w:w="757"/>
        <w:gridCol w:w="764"/>
        <w:gridCol w:w="109"/>
        <w:gridCol w:w="109"/>
        <w:gridCol w:w="109"/>
        <w:gridCol w:w="109"/>
        <w:gridCol w:w="109"/>
        <w:gridCol w:w="109"/>
        <w:gridCol w:w="236"/>
        <w:gridCol w:w="466"/>
        <w:gridCol w:w="457"/>
        <w:gridCol w:w="236"/>
        <w:gridCol w:w="588"/>
        <w:gridCol w:w="155"/>
        <w:gridCol w:w="155"/>
        <w:gridCol w:w="156"/>
        <w:gridCol w:w="679"/>
        <w:gridCol w:w="351"/>
        <w:gridCol w:w="874"/>
        <w:gridCol w:w="109"/>
        <w:gridCol w:w="109"/>
        <w:gridCol w:w="109"/>
        <w:gridCol w:w="188"/>
        <w:gridCol w:w="188"/>
        <w:gridCol w:w="268"/>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3" w:type="dxa"/>
            <w:gridSpan w:val="5"/>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Increase / (Decrease)</w:t>
            </w:r>
          </w:p>
        </w:tc>
        <w:tc>
          <w:tcPr>
            <w:tcW w:w="971"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83" w:type="dxa"/>
            <w:gridSpan w:val="5"/>
            <w:vMerge w:val="continue"/>
            <w:tcBorders/>
            <w:shd w:fill="FFFFFF" w:val="clear"/>
            <w:tcMar>
              <w:top w:w="0" w:type="dxa"/>
              <w:left w:w="0" w:type="dxa"/>
              <w:bottom w:w="0" w:type="dxa"/>
              <w:right w:w="0" w:type="dxa"/>
            </w:tcMar>
            <w:vAlign w:val="center"/>
          </w:tcPr>
          <w:p>
            <w:pPr>
              <w:pStyle w:val="Normal"/>
              <w:bidi w:val="0"/>
              <w:jc w:val="left"/>
              <w:rPr/>
            </w:pPr>
            <w:r>
              <w:rPr/>
            </w:r>
          </w:p>
        </w:tc>
        <w:tc>
          <w:tcPr>
            <w:tcW w:w="155"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971" w:type="dxa"/>
            <w:gridSpan w:val="6"/>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904" w:type="dxa"/>
            <w:gridSpan w:val="3"/>
            <w:vMerge w:val="continue"/>
            <w:tcBorders>
              <w:top w:val="single" w:sz="8" w:space="0" w:color="FFFFFF"/>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w:t>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Effective tax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$2.1 million and $3.9 million for the three months ended March 31, 2026 and 2025, respectively.</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tax rate of 42% for the three months ended March 31, 2026 differed from the U.S. statutory rate of 21% primarily due to costs related to non-deductible executive compensation and non-deductible stock-based compensation, partially offset by tax credits.</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effective tax rate of 45% for the three months ended March 31, 2025 differed from the U.S. statutory rate of 21% primarily due to costs related to non-deductible executive compensation, non-deductible stock-based compensation and a non-U.S. valuation allowance, partially offset by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42</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Since our inception in 2006, we have devoted most of our cash resources to manufacturing, R&amp;D and selling, general and administrative activities related to the development and commercialization of EXPAREL. In addition, we acquired ZILRETTA as part of the acquisition of Flexion Therapeutics, Inc. in November 2021 and iovera° as part of the acquisition of MyoScience, Inc. in April 2019. In addition, we acquired GQ Bio in February 2025 to further develop PCRX-201 and establish our HCAd platform. We are primarily dependent on the commercial success of EXPAREL and ZILRETTA. We have financed our operations primarily with the proceeds from the sale of convertible senior notes and other debt, common stock and product sales. As of March 31, 2026, we had an accumulated deficit of $196.4 million, cash and cash equivalents and available-for-sale investments of $202.2 million and working capital of $406.2 million.</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expect that our cash and cash equivalents and available-for-sale investments on hand will be adequate to cover our short-term liquidity needs, and that we would be able to access other sources of financing should the need arise.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Cash Flows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from operating, investing and financing activities for the periods indicated (in thousands): </w:t>
      </w:r>
    </w:p>
    <w:tbl>
      <w:tblPr>
        <w:tblW w:w="7940" w:type="dxa"/>
        <w:jc w:val="left"/>
        <w:tblInd w:w="0" w:type="dxa"/>
        <w:tblLayout w:type="fixed"/>
        <w:tblCellMar>
          <w:top w:w="28" w:type="dxa"/>
          <w:left w:w="28" w:type="dxa"/>
          <w:bottom w:w="28" w:type="dxa"/>
          <w:right w:w="28" w:type="dxa"/>
        </w:tblCellMar>
      </w:tblPr>
      <w:tblGrid>
        <w:gridCol w:w="1841"/>
        <w:gridCol w:w="1617"/>
        <w:gridCol w:w="1626"/>
        <w:gridCol w:w="109"/>
        <w:gridCol w:w="109"/>
        <w:gridCol w:w="109"/>
        <w:gridCol w:w="211"/>
        <w:gridCol w:w="796"/>
        <w:gridCol w:w="109"/>
        <w:gridCol w:w="109"/>
        <w:gridCol w:w="109"/>
        <w:gridCol w:w="109"/>
        <w:gridCol w:w="211"/>
        <w:gridCol w:w="721"/>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net cash provided by operating activities was $25.7 million, compared to $35.5 million during the three months ended March 31, 2025. The decrease of $9.8 million was primarily attributable to fewer receipts on our accounts receivable due to the extension of payment terms in 2026 and the recovery of $5.2 million in legal expenses received in 2025.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net cash provided by investing activities was $19.4 million, which reflected $22.5 million of inflows from available-for-sale investment sales, partially offset by $2.7 million of capital expenditures.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used in investing activities was $25.6 million, which reflected $16.7 million related to the cash consideration for the GQ Bio Acquisition (net of cash acquired), $8.5 million of capital expenditures for manufacturing product fill lines and the build-out of our new corporate headquarters in Brisbane, California, as well as $0.4 million of outflows from available-for-sale investment purchases (net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43</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During the three months ended March 31, 2026, net cash used in financing activities was $59.4 million, which primarily consisted of $50.0 million in repurchases of common stock under the $300.0 million share repurchase program authorized by our board of directors in April 2025; $5.0 million in repayments of the Revolving Credit Facility (as defined herein); as well as $4.4 million to withhold shares of common stock to cover employee tax withholding obligations on restricted stock unit vests. For more information on our share repurchase program, see</w:t>
      </w:r>
      <w:r>
        <w:rPr>
          <w:color w:val="000000"/>
        </w:rPr>
        <w:t xml:space="preserve"> </w:t>
      </w:r>
      <w:r>
        <w:rPr>
          <w:rFonts w:ascii="Times New Roman;serif" w:hAnsi="Times New Roman;serif"/>
          <w:b w:val="false"/>
          <w:color w:val="000000"/>
          <w:sz w:val="20"/>
        </w:rPr>
        <w:t xml:space="preserve">Note 11,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to our condensed consolidated financial statements included herein and Part II Item 2. </w:t>
      </w:r>
      <w:r>
        <w:rPr>
          <w:rFonts w:ascii="Times New Roman;serif" w:hAnsi="Times New Roman;serif"/>
          <w:b w:val="false"/>
          <w:i/>
          <w:color w:val="000000"/>
          <w:sz w:val="20"/>
        </w:rPr>
        <w:t>Unregistered Sales of Equity Securities and Use of Proceeds</w:t>
      </w:r>
      <w:r>
        <w:rPr>
          <w:color w:val="000000"/>
        </w:rPr>
        <w:t xml:space="preserve"> </w:t>
      </w:r>
      <w:r>
        <w:rPr>
          <w:rFonts w:ascii="Times New Roman;serif" w:hAnsi="Times New Roman;serif"/>
          <w:b w:val="false"/>
          <w:color w:val="000000"/>
          <w:sz w:val="20"/>
        </w:rPr>
        <w:t>of this Quarterly Report on Form 10-Q.</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net cash used in financing activities was $3.0 million, which primarily consisted of a $2.8 million voluntary prepayment associated with the term loan issued under the TLA Credit Agreement (the “TLA Term Loan”).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 of the TLA Term Loan, 2025 Notes and the Revolving Credit Facility.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Debt</w:t>
      </w:r>
    </w:p>
    <w:p>
      <w:pPr>
        <w:pStyle w:val="TextBody"/>
        <w:bidi w:val="0"/>
        <w:spacing w:lineRule="auto" w:line="288" w:before="180" w:after="160"/>
        <w:jc w:val="left"/>
        <w:rPr>
          <w:rFonts w:ascii="Times New Roman;serif" w:hAnsi="Times New Roman;serif"/>
          <w:b w:val="false"/>
          <w:i/>
          <w:color w:val="000000"/>
          <w:sz w:val="20"/>
        </w:rPr>
      </w:pPr>
      <w:r>
        <w:rPr>
          <w:rFonts w:ascii="Times New Roman;serif" w:hAnsi="Times New Roman;serif"/>
          <w:b w:val="false"/>
          <w:i/>
          <w:color w:val="000000"/>
          <w:sz w:val="20"/>
        </w:rPr>
        <w:t>2029 Convertible Senior Notes</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In May 2024, we completed a private placement of $287.5 million in aggregate principal amount of our 2.125% convertible senior notes due 2029, or 2029 Notes, and entered into an indenture with respect to the 2029 Notes. The 2029 Notes accrue interest at a fixed rate of 2.125% per year, payable semiannually in arrears on May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and November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The 2029 Notes mature on May 15, 2029.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At March 31, 2026, all $287.5 million of principal was outstanding on the 2029 Notes. 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July 3, 2025, we entered into a credit agreement (the “Credit Agreement”) with Wells Fargo Bank, National Association, as administrative agent, swingline lender and an issuing bank, and certain lenders, to, among other things, refinance the indebtedness outstanding under our TLA Credit Agreement (as defined below) and provide ongoing working capital. The Credit Agreement provides for a senior secured revolving credit facility (the “Revolving Credit Facility”) in an aggregate commitment amount of $300.0 million, with a letter of credit sublimit of $10.0 million and swingline loan sublimit of $15.0 million. The credit facility is secured by substantially all of our and each subsidiary guarantor’s assets and matures on July 3, 2030, subject to certain exceptions set forth in the Credit Agreement. Subject to certain conditions, we may, at any time, on one or more occasions, add one or more new classes of term facilities and/or increase the principal amount of any existing class of term loans by requesting one or more incremental term facilities in an aggregate principal amount not to exceed the greater of $225.0 million and 100% of Consolidated EBITDA (as defined in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Each revolving loan borrowing which is an alternate base rate borrowing will bear interest at a rate per annum equal to (i) a base rate, plus (ii) a spread based on our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our Senior Secured Net Leverage Ratio ranging from 2.50% to 3.25%.</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Credit Agreement also contains customary affirmative and negative covenants, financial covenants, representations and warranties, events of default and other provisions. As of March 31, 2026, we were in compliance with all covenants under the Credit Agreement.</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Upon entering into the Credit Agreement, we borrowed $101.0 million under the Revolving Credit Facility, of which $86.0 million is outstanding as of March 31, 2026 after we made repayments of $5.0 million during the three months ended March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44</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Future Capital Requirements</w:t>
      </w:r>
    </w:p>
    <w:p>
      <w:pPr>
        <w:pStyle w:val="TextBody"/>
        <w:bidi w:val="0"/>
        <w:spacing w:lineRule="auto" w:line="288" w:before="18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available-for-sale investments and cash received from product sales will be sufficient to enable us to fund our operating expenses, capital expenditure requirements and payment of the interest and principal on our Revolving Credit Facility and 2029 Notes through the next 12 months from the date of this filing. Our future use of operating cash and capital requirements will depend on many forward-looking factors, including, but not limited to:</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the cost and timing of the potential milestone payments to former Flexion Therapeutics, Inc. stockholders, which could be up to an aggregate of $372.3 million if certain regulatory and commercial milestones are met. See Note 10, </w:t>
      </w:r>
      <w:r>
        <w:rPr>
          <w:rFonts w:ascii="Times New Roman;serif" w:hAnsi="Times New Roman;serif"/>
          <w:b w:val="false"/>
          <w:i/>
          <w:color w:val="000000"/>
          <w:sz w:val="20"/>
        </w:rPr>
        <w:t>Financial Instruments</w:t>
      </w:r>
      <w:r>
        <w:rPr>
          <w:rFonts w:ascii="Times New Roman;serif" w:hAnsi="Times New Roman;serif"/>
          <w:b w:val="false"/>
          <w:color w:val="000000"/>
          <w:sz w:val="20"/>
        </w:rPr>
        <w:t>, to our condensed consolidated financial statements included herein for more information;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global economic conditions—including the impact of inflation and tariffs—on our products, material and labor costs, supply chain, longer lead-times, an inability to procure a sufficient supply of materials, our operating expenses and our business strategy;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timing of and extent to which the holders of our 2029 Notes elect to convert their 2029 Notes, and the amount of borrowings and interest payments on our Revolving Credit Facility. Per the terms of the 2029 Notes, we will settle the principal in cash. For any excess conversion value, holders may receive cash, shares of our common stock or a combination of cash and shares of our common stock, at our option;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costs and our ability to successfully continue to expand the commercialization of EXPAREL, ZILRETTA and iovera°;</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cost and timing of expanding and maintaining our manufacturing facilities and capabilities;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 and timing of additional strategic investments, including additional investments under existing agreements;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related to legal and regulatory matters, including those to develop and defend our intellectual property;</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of performing additional clinical trials for our products and product candidates, including the additional pediatric trials required by the FDA and EMA as a condition of the approval of EXPAREL and clinical trials for PCRX-201, PCRX-2002 and other clinical-stage product candidates;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for the development and commercialization of other product candidates;</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costs and timing of future payments under our employee benefit plans, including but not limited to our cash long-term incentive plan and non-qualified deferred compensation plan;</w:t>
      </w:r>
    </w:p>
    <w:p>
      <w:pPr>
        <w:pStyle w:val="TextBody"/>
        <w:bidi w:val="0"/>
        <w:spacing w:lineRule="auto" w:line="288" w:before="180" w:after="160"/>
        <w:ind w:left="0" w:right="0" w:hanging="360"/>
        <w:jc w:val="left"/>
        <w:rPr/>
      </w:pPr>
      <w:r>
        <w:rPr>
          <w:color w:val="000000"/>
        </w:rPr>
        <w:t>•</w:t>
      </w:r>
      <w:r>
        <w:rPr>
          <w:rFonts w:ascii="Times New Roman;serif" w:hAnsi="Times New Roman;serif"/>
          <w:b w:val="false"/>
          <w:color w:val="000000"/>
          <w:sz w:val="20"/>
        </w:rPr>
        <w:t>the extent to which we acquire or invest in products, businesses and technologies;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the number of shares of our common stock either repurchased through our $300.0 million share repurchase program announced in April 2025, which has an expiration date of December 31, 2026 or shares withheld to cover employee tax withholding obligations on restricted stock unit vests.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may require additional debt or equity financing to meet our future operating and capital requirements. We have no committed external sources of funds, and additional equity or debt financing may not be available on acceptable terms, if at all. In particular, capital market disruptions or negative economic conditions may hinder our access to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For a description of critical accounting policies that affect our significant judgments and estimates used in the preparation of our consolidated financial statements, refer to our </w:t>
      </w:r>
      <w:hyperlink r:id="rId5">
        <w:r>
          <w:rPr>
            <w:rStyle w:val="InternetLink"/>
            <w:rFonts w:ascii="Times New Roman;serif" w:hAnsi="Times New Roman;serif"/>
            <w:b w:val="false"/>
            <w:color w:val="0000FF"/>
            <w:sz w:val="20"/>
            <w:u w:val="single"/>
          </w:rPr>
          <w:t>2025 Annual Report</w:t>
        </w:r>
      </w:hyperlink>
      <w:r>
        <w:rPr>
          <w:rFonts w:ascii="Times New Roman;serif" w:hAnsi="Times New Roman;serif"/>
          <w:b w:val="false"/>
          <w:color w:val="000000"/>
          <w:sz w:val="20"/>
        </w:rPr>
        <w:t>. There have been no significant changes to our critical accounting policies nor any recently issued accounting pronouncements that are expected to have a material impact on our financial results since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80" w:after="180"/>
        <w:ind w:left="0" w:right="0" w:firstLine="450"/>
        <w:jc w:val="left"/>
        <w:rPr/>
      </w:pPr>
      <w:r>
        <w:rPr>
          <w:rFonts w:ascii="Times New Roman;serif" w:hAnsi="Times New Roman;serif"/>
          <w:b w:val="false"/>
          <w:color w:val="000000"/>
          <w:sz w:val="20"/>
        </w:rPr>
        <w:t xml:space="preserve">There have been no material changes in our contractual obligations relating to our indebtedness, lease obligations and purchase obligations from those reported in our 2025 Annual Report. For more information on our contractual obligations and commercial commitments, see Part II, Item 7 in our </w:t>
      </w:r>
      <w:hyperlink r:id="rId6">
        <w:r>
          <w:rPr>
            <w:rStyle w:val="InternetLink"/>
            <w:rFonts w:ascii="Times New Roman;serif" w:hAnsi="Times New Roman;serif"/>
            <w:b w:val="false"/>
            <w:color w:val="0000FF"/>
            <w:sz w:val="20"/>
            <w:u w:val="single"/>
          </w:rPr>
          <w:t>2025 Annual Report</w:t>
        </w:r>
      </w:hyperlink>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45</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primary objective of our cash equivalents and investment activities is to preserve principal while at the same time maximizing the income that we receive from our investments without significantly increasing risk. We invest in corporate bonds, commercial paper, asset-backed securities and U.S. Treasury and other government agency notes for purposes other than trading which are reported at fair value. These securities are subject to interest rate risk and credit risk. This means that a change in prevailing interest rates may cause the fair value of the investment to fluctuate. For example, if we hold a security that was issued with a fixed interest rate at the then-prevailing rate and the interest rate later rises, we expect that the fair value of our investment will decline. A hypothetical 100 basis point increase in interest rates would have reduced the fair value of our available-for-sale securities at March 31, 2026 by approximately $0.2 million.</w:t>
      </w:r>
    </w:p>
    <w:p>
      <w:pPr>
        <w:pStyle w:val="TextBody"/>
        <w:bidi w:val="0"/>
        <w:spacing w:lineRule="auto" w:line="288" w:before="180" w:after="283"/>
        <w:ind w:left="0" w:right="0" w:firstLine="450"/>
        <w:jc w:val="left"/>
        <w:rPr/>
      </w:pPr>
      <w:r>
        <w:rPr>
          <w:rFonts w:ascii="Times New Roman;serif" w:hAnsi="Times New Roman;serif"/>
          <w:b w:val="false"/>
          <w:color w:val="000000"/>
          <w:sz w:val="20"/>
        </w:rPr>
        <w:t xml:space="preserve">The fair value of our 2029 Notes is impacted by both the fair value of our common stock and interest rate fluctuations. As of March 31, 2026, the estimated fair value of the 2029 Notes was $967 per $1,000 principal amount. See Note 9, </w:t>
      </w:r>
      <w:r>
        <w:rPr>
          <w:rFonts w:ascii="Times New Roman;serif" w:hAnsi="Times New Roman;serif"/>
          <w:b w:val="false"/>
          <w:i/>
          <w:color w:val="000000"/>
          <w:sz w:val="20"/>
        </w:rPr>
        <w:t>Debt</w:t>
      </w:r>
      <w:r>
        <w:rPr>
          <w:rFonts w:ascii="Times New Roman;serif" w:hAnsi="Times New Roman;serif"/>
          <w:b w:val="false"/>
          <w:color w:val="000000"/>
          <w:sz w:val="20"/>
        </w:rPr>
        <w:t>, to our condensed consolidated financial statements included herein for further discussion of our 2029 Notes, which bear interest at a fixed rate. At March 31, 2026, $287.5 million of principal remains outstanding on the 2029 Notes.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provides for a senior secured revolving credit facility in an aggregate commitment amount of $300.0 million, with a letter of credit sublimit of $10.0 million and swingline loan sublimit of $15.0 million. Each revolving loan borrowing which is an alternate base rate borrowing will bear interest at a rate per annum equal to (i) a base rate, plus (ii) a spread based on our Senior Secured Net Leverage Ratio (as defined in the Credit Agreement) ranging from 1.50% to 2.25%. Each revolving loan borrowing which is a term benchmark borrowing or daily simple SOFR (as defined in the Credit Agreement) borrowing will bear interest at a rate per annum equal to (i) a forward-looking term rate based on SOFR or a rate determined by reference to the daily simple SOFR, plus (ii) a spread based on our Senior Secured Net Leverage Ratio ranging from 2.50% to 3.25%. Upon entering into the Credit Agreement, we borrowed $101.0 million under the Revolving Credit Facility, of which $86.0 million is outstanding as of March 31, 2026. As of March 31, 2026, borrowings under the Revolving Credit Facility consisted entirely of term SOFR borrowings at an approximate all-in rate of 6.25%. A hypothetical 100 basis point increase in interest rates would increase interest expense over the next 12 months by approximately $0.9 million based on the balance outstanding for these borrowings as of March 31,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have agreements with certain vendors and partners that operate in foreign jurisdictions. The more significant transactions are primarily denominated in the U.S. Dollar, subject to an annual adjustment based on changes in currency exchange rates.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Additionally, our accounts receivable are primarily concentrated with three large wholesalers of pharmaceutical products. In the event of non-performance or non-payment, there may be a material adverse impact on our financial condition, results of operations or net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required by Rule 13a-15(b) under the Exchange Act, our management, including our Chief Executive Officer and our Chief Financial Officer, conducted an evaluation of the effectiveness of the design and operation of our disclosure controls and procedures as of the end of the period covered by this report. As defined in Rules 13a-15(e) and 15d-15(e) under the Exchange Act, disclosure controls and procedures are controls and other procedures which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our Chief Financial Officer concluded that our disclosure controls and procedures were effective as of March 31,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8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quarter ended March 31, 2026 that have materially affected, or are reasonably likely to materially affect,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46</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Inherent Limitations on Effectiveness of Controls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Our management, including the Chief Executive Officer and our Chief Financial Officer, does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our company have been detected. These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47</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For information related to Item 1. Legal Proceedings, refer to Note 16,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to our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financial statements included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 xml:space="preserve">You should carefully consider the factors discussed in Part I, Item 1A. “Risk Factors” in our </w:t>
      </w:r>
      <w:hyperlink r:id="rId7">
        <w:r>
          <w:rPr>
            <w:rStyle w:val="InternetLink"/>
            <w:rFonts w:ascii="Times New Roman;serif" w:hAnsi="Times New Roman;serif"/>
            <w:b w:val="false"/>
            <w:color w:val="0000FF"/>
            <w:sz w:val="20"/>
            <w:u w:val="single"/>
          </w:rPr>
          <w:t>2025 Annual Report</w:t>
        </w:r>
      </w:hyperlink>
      <w:r>
        <w:rPr>
          <w:rFonts w:ascii="Times New Roman;serif" w:hAnsi="Times New Roman;serif"/>
          <w:b w:val="false"/>
          <w:color w:val="000000"/>
          <w:sz w:val="20"/>
        </w:rPr>
        <w:t>, which could materially affect our business, financial condition, cash flows or future results. There have been no material changes in our risk factors included in our 2025 Annual Report. The risks described in our 2025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Purchases of Equity Securities by the Registrant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on our share repurchases during the quarter ended March 31,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2"/>
        <w:gridCol w:w="450"/>
        <w:gridCol w:w="454"/>
        <w:gridCol w:w="109"/>
        <w:gridCol w:w="109"/>
        <w:gridCol w:w="109"/>
        <w:gridCol w:w="374"/>
        <w:gridCol w:w="362"/>
        <w:gridCol w:w="363"/>
        <w:gridCol w:w="109"/>
        <w:gridCol w:w="109"/>
        <w:gridCol w:w="109"/>
        <w:gridCol w:w="236"/>
        <w:gridCol w:w="691"/>
        <w:gridCol w:w="122"/>
        <w:gridCol w:w="109"/>
        <w:gridCol w:w="109"/>
        <w:gridCol w:w="109"/>
        <w:gridCol w:w="778"/>
        <w:gridCol w:w="778"/>
        <w:gridCol w:w="780"/>
        <w:gridCol w:w="109"/>
        <w:gridCol w:w="109"/>
        <w:gridCol w:w="109"/>
        <w:gridCol w:w="397"/>
        <w:gridCol w:w="2234"/>
        <w:gridCol w:w="296"/>
      </w:tblGrid>
      <w:tr>
        <w:trPr/>
        <w:tc>
          <w:tcPr>
            <w:tcW w:w="58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Issuer Purchases of Equity Securities</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w:t>
              <w:br/>
              <w:t>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Price</w:t>
            </w:r>
          </w:p>
          <w:p>
            <w:pPr>
              <w:pStyle w:val="TableContents"/>
              <w:bidi w:val="0"/>
              <w:spacing w:lineRule="auto" w:line="240" w:before="0" w:after="0"/>
              <w:jc w:val="center"/>
              <w:rPr/>
            </w:pPr>
            <w:r>
              <w:rPr>
                <w:rFonts w:ascii="Times New Roman;serif" w:hAnsi="Times New Roman;serif"/>
                <w:b/>
                <w:color w:val="000000"/>
                <w:sz w:val="18"/>
              </w:rPr>
              <w:t xml:space="preserve">Paid Per Share </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Plans or Programs </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Plans or Programs </w:t>
            </w:r>
            <w:r>
              <w:rPr>
                <w:rFonts w:ascii="Times New Roman;serif" w:hAnsi="Times New Roman;serif"/>
                <w:b/>
                <w:color w:val="000000"/>
                <w:sz w:val="12"/>
              </w:rPr>
              <w:t>(1)</w:t>
            </w:r>
          </w:p>
        </w:tc>
      </w:tr>
      <w:tr>
        <w:trPr/>
        <w:tc>
          <w:tcPr>
            <w:tcW w:w="1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577,438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577,438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137,518,643 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623,899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123,756,124 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1,043,216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1,043,216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99,998,365 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2,244,553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2,244,553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99,998,365 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pPr>
      <w:r>
        <w:rPr>
          <w:rFonts w:ascii="Times New Roman;serif" w:hAnsi="Times New Roman;serif"/>
          <w:b w:val="false"/>
          <w:color w:val="000000"/>
          <w:sz w:val="16"/>
        </w:rPr>
        <w:t>(1) The average price paid per share excludes less than $0.1 million of broker fees and $0.4 million</w:t>
      </w:r>
      <w:r>
        <w:rPr>
          <w:color w:val="000000"/>
        </w:rPr>
        <w:t xml:space="preserve"> </w:t>
      </w:r>
      <w:r>
        <w:rPr>
          <w:rFonts w:ascii="Times New Roman;serif" w:hAnsi="Times New Roman;serif"/>
          <w:b w:val="false"/>
          <w:color w:val="000000"/>
          <w:sz w:val="16"/>
        </w:rPr>
        <w:t>of excise tax incurred on share repurchases for the three months ended March 31, 2026. The remaining authorization outstanding for repurchases of common stock also excludes the broker fees and excise tax incurred.</w:t>
      </w:r>
    </w:p>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(2) Our Board of Directors has authorized the repurchase of common stock under a share repurchase program adopted and announced in April 2025. The share repurchase program authorizes the Company to purchase up to an aggregate of $300.0 million of the Company’s outstanding common stock. Repurchases under this program may be made at management’s discretion on the open market or through privately negotiated transactions, including plans that comply with Rule 10b5-1 under the Exchange Act. The share repurchase program may be suspended or discontinued at any time by the Company and has an expiration date of December 31, 2026.</w:t>
      </w:r>
    </w:p>
    <w:p>
      <w:pPr>
        <w:pStyle w:val="TextBody"/>
        <w:bidi w:val="0"/>
        <w:spacing w:lineRule="auto" w:line="288" w:before="0" w:after="40"/>
        <w:jc w:val="left"/>
        <w:rPr>
          <w:rFonts w:ascii="Times New Roman;serif" w:hAnsi="Times New Roman;serif"/>
          <w:b w:val="false"/>
          <w:color w:val="000000"/>
          <w:sz w:val="16"/>
        </w:rPr>
      </w:pPr>
      <w:r>
        <w:rPr>
          <w:rFonts w:ascii="Times New Roman;serif" w:hAnsi="Times New Roman;serif"/>
          <w:b w:val="false"/>
          <w:color w:val="000000"/>
          <w:sz w:val="16"/>
        </w:rPr>
        <w:t>The timing of any repurchases and the actual number of shares repurchased will depend on a variety of factors, including our stock price, corporate and regulatory requirements, tax implications, restrictions under our debt obligations, other uses for capital, impacts on the value of remaining shares, and market and economic conditions.</w:t>
      </w:r>
    </w:p>
    <w:p>
      <w:pPr>
        <w:pStyle w:val="TextBody"/>
        <w:bidi w:val="0"/>
        <w:spacing w:lineRule="auto" w:line="288" w:before="0" w:after="40"/>
        <w:jc w:val="left"/>
        <w:rPr/>
      </w:pPr>
      <w:r>
        <w:rPr>
          <w:rFonts w:ascii="Times New Roman;serif" w:hAnsi="Times New Roman;serif"/>
          <w:b w:val="false"/>
          <w:color w:val="000000"/>
          <w:sz w:val="16"/>
        </w:rPr>
        <w:t xml:space="preserve">Refer to Note 11, </w:t>
      </w:r>
      <w:r>
        <w:rPr>
          <w:rFonts w:ascii="Times New Roman;serif" w:hAnsi="Times New Roman;serif"/>
          <w:b w:val="false"/>
          <w:i/>
          <w:color w:val="000000"/>
          <w:sz w:val="16"/>
        </w:rPr>
        <w:t>Stockholders’ Equity</w:t>
      </w:r>
      <w:r>
        <w:rPr>
          <w:rFonts w:ascii="Times New Roman;serif" w:hAnsi="Times New Roman;serif"/>
          <w:b w:val="false"/>
          <w:color w:val="000000"/>
          <w:sz w:val="16"/>
        </w:rPr>
        <w:t>, to our condensed consolidated financial statements included herein for more information on our share repurchases.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48</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Trading Plans</w:t>
      </w:r>
    </w:p>
    <w:p>
      <w:pPr>
        <w:pStyle w:val="TextBody"/>
        <w:bidi w:val="0"/>
        <w:spacing w:lineRule="auto" w:line="288" w:before="16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“Rule 10b5-1 trading arrangements” and “non-Rule 10b5-1 trading arrangements” (as each term is defined in Item 408(a) of Regulation S-K) adopted by our directors and executive officers during the quarter ended March 31, 2026. No trading arrangements were terminated by our directors and executive officers during the quarter ended March 31, 2026.</w:t>
      </w:r>
    </w:p>
    <w:tbl>
      <w:tblPr>
        <w:tblW w:w="10205" w:type="dxa"/>
        <w:jc w:val="left"/>
        <w:tblInd w:w="0" w:type="dxa"/>
        <w:tblLayout w:type="fixed"/>
        <w:tblCellMar>
          <w:top w:w="28" w:type="dxa"/>
          <w:left w:w="28" w:type="dxa"/>
          <w:bottom w:w="28" w:type="dxa"/>
          <w:right w:w="28" w:type="dxa"/>
        </w:tblCellMar>
      </w:tblPr>
      <w:tblGrid>
        <w:gridCol w:w="840"/>
        <w:gridCol w:w="710"/>
        <w:gridCol w:w="705"/>
        <w:gridCol w:w="109"/>
        <w:gridCol w:w="109"/>
        <w:gridCol w:w="109"/>
        <w:gridCol w:w="205"/>
        <w:gridCol w:w="205"/>
        <w:gridCol w:w="206"/>
        <w:gridCol w:w="109"/>
        <w:gridCol w:w="109"/>
        <w:gridCol w:w="109"/>
        <w:gridCol w:w="296"/>
        <w:gridCol w:w="296"/>
        <w:gridCol w:w="302"/>
        <w:gridCol w:w="109"/>
        <w:gridCol w:w="109"/>
        <w:gridCol w:w="109"/>
        <w:gridCol w:w="233"/>
        <w:gridCol w:w="233"/>
        <w:gridCol w:w="225"/>
        <w:gridCol w:w="188"/>
        <w:gridCol w:w="188"/>
        <w:gridCol w:w="188"/>
        <w:gridCol w:w="280"/>
        <w:gridCol w:w="280"/>
        <w:gridCol w:w="296"/>
        <w:gridCol w:w="109"/>
        <w:gridCol w:w="109"/>
        <w:gridCol w:w="109"/>
        <w:gridCol w:w="580"/>
        <w:gridCol w:w="557"/>
        <w:gridCol w:w="549"/>
        <w:gridCol w:w="109"/>
        <w:gridCol w:w="109"/>
        <w:gridCol w:w="109"/>
        <w:gridCol w:w="291"/>
        <w:gridCol w:w="291"/>
        <w:gridCol w:w="426"/>
      </w:tblGrid>
      <w:tr>
        <w:trPr/>
        <w:tc>
          <w:tcPr>
            <w:tcW w:w="8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and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Rule</w:t>
              <w:br/>
              <w:t>10b5-1*</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Non-Rule</w:t>
              <w:br/>
              <w:t>10b5-1**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w:t>
              <w:br/>
              <w:t>Shares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br/>
              <w:t>Date</w:t>
            </w:r>
          </w:p>
        </w:tc>
      </w:tr>
      <w:tr>
        <w:trPr/>
        <w:tc>
          <w:tcPr>
            <w:tcW w:w="2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Brendan Teehan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Commercial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8,720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2/26/2027</w:t>
            </w:r>
          </w:p>
        </w:tc>
      </w:tr>
      <w:tr>
        <w:trPr/>
        <w:tc>
          <w:tcPr>
            <w:tcW w:w="2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Lauren Riker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Adopt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4"/>
              </w:rPr>
            </w:pPr>
            <w:r>
              <w:rPr>
                <w:rFonts w:ascii="Wingdings;sans-serif" w:hAnsi="Wingdings;sans-serif"/>
                <w:b w:val="false"/>
                <w:color w:val="000000"/>
                <w:sz w:val="24"/>
              </w:rPr>
              <w:t>x</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To Be Determined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12/7/2026</w:t>
            </w:r>
          </w:p>
        </w:tc>
      </w:tr>
    </w:tbl>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Intended to satisfy the affirmative defense of Rule 10b5-1(c).</w:t>
      </w:r>
    </w:p>
    <w:p>
      <w:pPr>
        <w:pStyle w:val="TextBody"/>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 Not intended to satisfy the affirmative defense of Rule 10b5-1(c).</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7"/>
        </w:rPr>
      </w:pPr>
      <w:r>
        <w:rPr>
          <w:rFonts w:ascii="Times New Roman;serif" w:hAnsi="Times New Roman;serif"/>
          <w:b w:val="false"/>
          <w:color w:val="000000"/>
          <w:sz w:val="17"/>
        </w:rPr>
        <w:t>(1) The shares to be sold pursuant to the trading arrangement listed above are dependent on sale prices under the trading arrangement.</w:t>
      </w:r>
    </w:p>
    <w:p>
      <w:pPr>
        <w:pStyle w:val="TextBody"/>
        <w:bidi w:val="0"/>
        <w:spacing w:lineRule="auto" w:line="288" w:before="0" w:after="120"/>
        <w:jc w:val="left"/>
        <w:rPr>
          <w:rFonts w:ascii="Times New Roman;serif" w:hAnsi="Times New Roman;serif"/>
          <w:b w:val="false"/>
          <w:color w:val="000000"/>
          <w:sz w:val="17"/>
        </w:rPr>
      </w:pPr>
      <w:r>
        <w:rPr>
          <w:rFonts w:ascii="Times New Roman;serif" w:hAnsi="Times New Roman;serif"/>
          <w:b w:val="false"/>
          <w:color w:val="000000"/>
          <w:sz w:val="17"/>
        </w:rPr>
        <w:t>(2) The aggregate number of shares to be sold pursuant to the trading arrangement listed above is dependent on, among other things, sale prices under the trading arrangement and the amount of tax withholding required upon the vesting of restricted stock units, and, therefore, is indeterminable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or furnished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3"/>
        <w:gridCol w:w="293"/>
        <w:gridCol w:w="294"/>
        <w:gridCol w:w="109"/>
        <w:gridCol w:w="109"/>
        <w:gridCol w:w="109"/>
        <w:gridCol w:w="2770"/>
        <w:gridCol w:w="2545"/>
        <w:gridCol w:w="3643"/>
      </w:tblGrid>
      <w:tr>
        <w:trPr/>
        <w:tc>
          <w:tcPr>
            <w:tcW w:w="33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a101paciraformofpsuagreeme.htm">
              <w:r>
                <w:rPr>
                  <w:rStyle w:val="InternetLink"/>
                  <w:rFonts w:ascii="Times New Roman;serif" w:hAnsi="Times New Roman;serif"/>
                  <w:b w:val="false"/>
                  <w:color w:val="0000FF"/>
                  <w:sz w:val="20"/>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Performance Share Unit Agreement under the Amended and Restated 2011 Stock Incentive Plan.* ***</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3312026xex311.htm">
              <w:r>
                <w:rPr>
                  <w:rStyle w:val="InternetLink"/>
                  <w:rFonts w:ascii="Times New Roman;serif" w:hAnsi="Times New Roman;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Rule 13a-14(a) and 15d-14(a), as amended.*</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3312026xex312.htm">
              <w:r>
                <w:rPr>
                  <w:rStyle w:val="InternetLink"/>
                  <w:rFonts w:ascii="Times New Roman;serif" w:hAnsi="Times New Roman;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Rule 13a-14(a) and 15d-14(a), as amended.*</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pcrx-03312026xex321.htm">
              <w:r>
                <w:rPr>
                  <w:rStyle w:val="InternetLink"/>
                  <w:rFonts w:ascii="Times New Roman;serif" w:hAnsi="Times New Roman;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 pursuant to 18 U.S.C. Section 1350, as adopted pursuant to Section 906 of the Sarbanes-Oxley Act of 2002.**</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Quarterly Report on Form 10-Q of Pacira BioSciences, Inc. for the quarter ended March 31, 2026, formatted in iXBRL (Inline eXtensible Business Reporting Language): (i) the Condensed Consolidated Balance Sheets; (ii) the Condensed Consolidated Statements of Operations; (iii) the Condensed Consolidated Statements of Comprehensive Income; (iv) the Condensed Consolidated Statements of Stockholders’ Equity; (v) the Condensed Consolidated Statements of Cash Flows; and (vi) the Condensed Notes to Consolidated Financial Statements.*</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tbl>
      <w:tblPr>
        <w:tblW w:w="6460" w:type="dxa"/>
        <w:jc w:val="left"/>
        <w:tblInd w:w="0" w:type="dxa"/>
        <w:tblLayout w:type="fixed"/>
        <w:tblCellMar>
          <w:top w:w="28" w:type="dxa"/>
          <w:left w:w="28" w:type="dxa"/>
          <w:bottom w:w="28" w:type="dxa"/>
          <w:right w:w="28" w:type="dxa"/>
        </w:tblCellMar>
      </w:tblPr>
      <w:tblGrid>
        <w:gridCol w:w="158"/>
        <w:gridCol w:w="138"/>
        <w:gridCol w:w="138"/>
        <w:gridCol w:w="109"/>
        <w:gridCol w:w="109"/>
        <w:gridCol w:w="109"/>
        <w:gridCol w:w="1670"/>
        <w:gridCol w:w="1670"/>
        <w:gridCol w:w="235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management contract or compensatory plan or arrangement.</w:t>
            </w:r>
          </w:p>
        </w:tc>
      </w:tr>
      <w:tr>
        <w:trPr/>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9" w:type="dxa"/>
            <w:gridSpan w:val="3"/>
            <w:tcBorders/>
            <w:vAlign w:val="center"/>
          </w:tcPr>
          <w:p>
            <w:pPr>
              <w:pStyle w:val="TableContents"/>
              <w:bidi w:val="0"/>
              <w:spacing w:before="0" w:after="283"/>
              <w:jc w:val="left"/>
              <w:rPr>
                <w:sz w:val="4"/>
                <w:szCs w:val="4"/>
              </w:rPr>
            </w:pPr>
            <w:r>
              <w:rPr>
                <w:sz w:val="4"/>
                <w:szCs w:val="4"/>
              </w:rPr>
            </w:r>
          </w:p>
        </w:tc>
      </w:tr>
      <w:tr>
        <w:trPr/>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9" w:type="dxa"/>
            <w:gridSpan w:val="3"/>
            <w:tcBorders/>
            <w:vAlign w:val="center"/>
          </w:tcPr>
          <w:p>
            <w:pPr>
              <w:pStyle w:val="TableContents"/>
              <w:bidi w:val="0"/>
              <w:spacing w:before="0" w:after="283"/>
              <w:jc w:val="left"/>
              <w:rPr>
                <w:sz w:val="4"/>
                <w:szCs w:val="4"/>
              </w:rPr>
            </w:pPr>
            <w:r>
              <w:rPr>
                <w:sz w:val="4"/>
                <w:szCs w:val="4"/>
              </w:rPr>
            </w:r>
          </w:p>
        </w:tc>
      </w:tr>
      <w:tr>
        <w:trPr/>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9" w:type="dxa"/>
            <w:gridSpan w:val="3"/>
            <w:tcBorders/>
            <w:vAlign w:val="center"/>
          </w:tcPr>
          <w:p>
            <w:pPr>
              <w:pStyle w:val="TableContents"/>
              <w:bidi w:val="0"/>
              <w:spacing w:before="0" w:after="283"/>
              <w:jc w:val="left"/>
              <w:rPr>
                <w:sz w:val="4"/>
                <w:szCs w:val="4"/>
              </w:rPr>
            </w:pPr>
            <w:r>
              <w:rPr>
                <w:sz w:val="4"/>
                <w:szCs w:val="4"/>
              </w:rPr>
            </w:r>
          </w:p>
        </w:tc>
      </w:tr>
      <w:tr>
        <w:trPr/>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9" w:type="dxa"/>
            <w:gridSpan w:val="3"/>
            <w:tcBorders/>
            <w:vAlign w:val="center"/>
          </w:tcPr>
          <w:p>
            <w:pPr>
              <w:pStyle w:val="TableContents"/>
              <w:bidi w:val="0"/>
              <w:spacing w:before="0" w:after="283"/>
              <w:jc w:val="left"/>
              <w:rPr>
                <w:sz w:val="4"/>
                <w:szCs w:val="4"/>
              </w:rPr>
            </w:pPr>
            <w:r>
              <w:rPr>
                <w:sz w:val="4"/>
                <w:szCs w:val="4"/>
              </w:rPr>
            </w:r>
          </w:p>
        </w:tc>
      </w:tr>
      <w:tr>
        <w:trPr/>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9" w:type="dxa"/>
            <w:gridSpan w:val="3"/>
            <w:tcBorders/>
            <w:vAlign w:val="center"/>
          </w:tcPr>
          <w:p>
            <w:pPr>
              <w:pStyle w:val="TableContents"/>
              <w:bidi w:val="0"/>
              <w:spacing w:before="0" w:after="283"/>
              <w:jc w:val="left"/>
              <w:rPr>
                <w:sz w:val="4"/>
                <w:szCs w:val="4"/>
              </w:rPr>
            </w:pPr>
            <w:r>
              <w:rPr>
                <w:sz w:val="4"/>
                <w:szCs w:val="4"/>
              </w:rPr>
            </w:r>
          </w:p>
        </w:tc>
      </w:tr>
      <w:tr>
        <w:trPr/>
        <w:tc>
          <w:tcPr>
            <w:tcW w:w="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49</w:t>
                      </w:r>
                    </w:p>
                  </w:txbxContent>
                </v:textbox>
                <w10:wrap type="none"/>
              </v:rect>
            </w:pict>
          </mc:Fallback>
        </mc:AlternateContent>
      </w:r>
    </w:p>
    <w:p>
      <w:pPr>
        <w:pStyle w:val="TextBody"/>
        <w:bidi w:val="0"/>
        <w:spacing w:lineRule="auto" w:line="288" w:before="0" w:after="0"/>
        <w:jc w:val="left"/>
        <w:rPr/>
      </w:pPr>
      <w:hyperlink w:anchor="ib128f25d0a0545f6af24cecb266f0ed7_7">
        <w:r>
          <w:rPr>
            <w:rStyle w:val="InternetLink"/>
            <w:rFonts w:ascii="Times New Roman;serif" w:hAnsi="Times New Roman;serif"/>
            <w:b w:val="false"/>
            <w:color w:val="0000FF"/>
            <w:sz w:val="20"/>
            <w:u w:val="single"/>
          </w:rPr>
          <w:t>Table of Contents</w:t>
        </w:r>
      </w:hyperlink>
    </w:p>
    <w:tbl>
      <w:tblPr>
        <w:tblW w:w="1411" w:type="dxa"/>
        <w:jc w:val="center"/>
        <w:tblInd w:w="0" w:type="dxa"/>
        <w:tblLayout w:type="fixed"/>
        <w:tblCellMar>
          <w:top w:w="28" w:type="dxa"/>
          <w:left w:w="28" w:type="dxa"/>
          <w:bottom w:w="28" w:type="dxa"/>
          <w:right w:w="28" w:type="dxa"/>
        </w:tblCellMar>
      </w:tblPr>
      <w:tblGrid>
        <w:gridCol w:w="452"/>
        <w:gridCol w:w="397"/>
        <w:gridCol w:w="562"/>
      </w:tblGrid>
      <w:tr>
        <w:trPr/>
        <w:tc>
          <w:tcPr>
            <w:tcW w:w="4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160" w:after="160"/>
              <w:jc w:val="center"/>
              <w:rPr>
                <w:rFonts w:ascii="Times New Roman;serif" w:hAnsi="Times New Roman;serif"/>
                <w:b/>
                <w:color w:val="000000"/>
                <w:sz w:val="20"/>
              </w:rPr>
            </w:pPr>
            <w:r>
              <w:rPr>
                <w:rFonts w:ascii="Times New Roman;serif" w:hAnsi="Times New Roman;serif"/>
                <w:b/>
                <w:color w:val="000000"/>
                <w:sz w:val="20"/>
              </w:rPr>
              <w:t>SIGNATURES</w:t>
            </w:r>
          </w:p>
        </w:tc>
      </w:tr>
    </w:tbl>
    <w:p>
      <w:pPr>
        <w:pStyle w:val="TextBody"/>
        <w:bidi w:val="0"/>
        <w:spacing w:lineRule="auto" w:line="288" w:before="0" w:after="1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5725"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34"/>
        <w:gridCol w:w="134"/>
        <w:gridCol w:w="136"/>
        <w:gridCol w:w="109"/>
        <w:gridCol w:w="109"/>
        <w:gridCol w:w="109"/>
        <w:gridCol w:w="922"/>
        <w:gridCol w:w="922"/>
        <w:gridCol w:w="130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PACIRA BIOSCIENCES, INC.</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19"/>
                        </w:rPr>
                        <w:t xml:space="preserve">Pacira BioSciences, Inc. | Q1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9"/>
                        </w:rPr>
                        <w:t>Quarterly Report on Form 10-Q | 50</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PACIRA BIOSCIENCES, INC.</w:t>
        <w:br/>
        <w:br/>
        <w:t>PERFORMANCE SHARE UNIT AWARD NOTICE</w:t>
        <w:br/>
        <w:br/>
        <w:t>AMENDED AND RESTATED 2011 STOCK INCENTIVE PLAN</w:t>
      </w:r>
    </w:p>
    <w:p>
      <w:pPr>
        <w:pStyle w:val="TextBody"/>
        <w:bidi w:val="0"/>
        <w:spacing w:lineRule="auto" w:line="276" w:before="240" w:after="283"/>
        <w:ind w:left="0" w:right="0" w:firstLine="720"/>
        <w:jc w:val="left"/>
        <w:rPr/>
      </w:pPr>
      <w:r>
        <w:rPr>
          <w:rFonts w:ascii="Times New Roman;serif" w:hAnsi="Times New Roman;serif"/>
          <w:b w:val="false"/>
          <w:color w:val="000000"/>
          <w:sz w:val="24"/>
        </w:rPr>
        <w:t>Pacira BioSciences, Inc. (the "</w:t>
      </w:r>
      <w:r>
        <w:rPr>
          <w:rFonts w:ascii="Times New Roman;serif" w:hAnsi="Times New Roman;serif"/>
          <w:b/>
          <w:i/>
          <w:color w:val="000000"/>
          <w:sz w:val="24"/>
        </w:rPr>
        <w:t>Company</w:t>
      </w:r>
      <w:r>
        <w:rPr>
          <w:rFonts w:ascii="Times New Roman;serif" w:hAnsi="Times New Roman;serif"/>
          <w:b w:val="false"/>
          <w:color w:val="000000"/>
          <w:sz w:val="24"/>
        </w:rPr>
        <w:t>") hereby grants to Participant a Performance Share Unit Award (the "</w:t>
      </w:r>
      <w:r>
        <w:rPr>
          <w:rFonts w:ascii="Times New Roman;serif" w:hAnsi="Times New Roman;serif"/>
          <w:b/>
          <w:i/>
          <w:color w:val="000000"/>
          <w:sz w:val="24"/>
        </w:rPr>
        <w:t>Award</w:t>
      </w:r>
      <w:r>
        <w:rPr>
          <w:rFonts w:ascii="Times New Roman;serif" w:hAnsi="Times New Roman;serif"/>
          <w:b w:val="false"/>
          <w:color w:val="000000"/>
          <w:sz w:val="24"/>
        </w:rPr>
        <w:t>"). The Award is subject to all the terms and conditions set forth in this Performance Share Unit Award Notice (the "</w:t>
      </w:r>
      <w:r>
        <w:rPr>
          <w:rFonts w:ascii="Times New Roman;serif" w:hAnsi="Times New Roman;serif"/>
          <w:b/>
          <w:i/>
          <w:color w:val="000000"/>
          <w:sz w:val="24"/>
        </w:rPr>
        <w:t>Award Notice</w:t>
      </w:r>
      <w:r>
        <w:rPr>
          <w:rFonts w:ascii="Times New Roman;serif" w:hAnsi="Times New Roman;serif"/>
          <w:b w:val="false"/>
          <w:color w:val="000000"/>
          <w:sz w:val="24"/>
        </w:rPr>
        <w:t>") and in the Performance Share Unit Award Agreement and the Pacira BioSciences, Inc. Amended and Restated 2011 Stock Incentive Plan (the "</w:t>
      </w:r>
      <w:r>
        <w:rPr>
          <w:rFonts w:ascii="Times New Roman;serif" w:hAnsi="Times New Roman;serif"/>
          <w:b/>
          <w:i/>
          <w:color w:val="000000"/>
          <w:sz w:val="24"/>
        </w:rPr>
        <w:t>Plan</w:t>
      </w:r>
      <w:r>
        <w:rPr>
          <w:rFonts w:ascii="Times New Roman;serif" w:hAnsi="Times New Roman;serif"/>
          <w:b w:val="false"/>
          <w:color w:val="000000"/>
          <w:sz w:val="24"/>
        </w:rPr>
        <w:t>"), which are incorporated into the Award Notice in their entirety.</w:t>
      </w:r>
    </w:p>
    <w:tbl>
      <w:tblPr>
        <w:tblW w:w="10205" w:type="dxa"/>
        <w:jc w:val="left"/>
        <w:tblInd w:w="0" w:type="dxa"/>
        <w:tblLayout w:type="fixed"/>
        <w:tblCellMar>
          <w:top w:w="28" w:type="dxa"/>
          <w:left w:w="28" w:type="dxa"/>
          <w:bottom w:w="28" w:type="dxa"/>
          <w:right w:w="28" w:type="dxa"/>
        </w:tblCellMar>
      </w:tblPr>
      <w:tblGrid>
        <w:gridCol w:w="804"/>
        <w:gridCol w:w="705"/>
        <w:gridCol w:w="710"/>
        <w:gridCol w:w="2386"/>
        <w:gridCol w:w="2386"/>
        <w:gridCol w:w="3214"/>
      </w:tblGrid>
      <w:tr>
        <w:trPr/>
        <w:tc>
          <w:tcPr>
            <w:tcW w:w="8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321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120" w:after="60"/>
              <w:jc w:val="left"/>
              <w:rPr/>
            </w:pPr>
            <w:r>
              <w:rPr>
                <w:rFonts w:ascii="Times New Roman;serif" w:hAnsi="Times New Roman;serif"/>
                <w:b/>
                <w:color w:val="000000"/>
                <w:sz w:val="24"/>
              </w:rPr>
              <w:t>Participant</w:t>
            </w:r>
            <w:r>
              <w:rPr>
                <w:rFonts w:ascii="Times New Roman;serif" w:hAnsi="Times New Roman;serif"/>
                <w:b w:val="false"/>
                <w:color w:val="000000"/>
                <w:sz w:val="24"/>
              </w:rPr>
              <w:t>:</w:t>
            </w:r>
          </w:p>
        </w:tc>
        <w:tc>
          <w:tcPr>
            <w:tcW w:w="7986"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Times New Roman;serif" w:hAnsi="Times New Roman;serif"/>
                <w:b w:val="false"/>
                <w:color w:val="000000"/>
                <w:sz w:val="24"/>
              </w:rPr>
            </w:pPr>
            <w:r>
              <w:rPr>
                <w:rFonts w:ascii="Times New Roman;serif" w:hAnsi="Times New Roman;serif"/>
                <w:b w:val="false"/>
                <w:color w:val="000000"/>
                <w:sz w:val="24"/>
              </w:rPr>
              <w:t>[PARTICIPANT NAME]</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erif" w:hAnsi="Times New Roman;serif"/>
                <w:b/>
                <w:color w:val="000000"/>
                <w:sz w:val="24"/>
              </w:rPr>
              <w:t>Grant Date</w:t>
            </w:r>
            <w:r>
              <w:rPr>
                <w:rFonts w:ascii="Times New Roman;serif" w:hAnsi="Times New Roman;serif"/>
                <w:b w:val="false"/>
                <w:color w:val="000000"/>
                <w:sz w:val="24"/>
              </w:rPr>
              <w:t>:</w:t>
            </w:r>
          </w:p>
        </w:tc>
        <w:tc>
          <w:tcPr>
            <w:tcW w:w="7986" w:type="dxa"/>
            <w:gridSpan w:val="3"/>
            <w:tcBorders/>
            <w:tcMar>
              <w:top w:w="0" w:type="dxa"/>
              <w:left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24"/>
              </w:rPr>
            </w:pPr>
            <w:r>
              <w:rPr>
                <w:rFonts w:ascii="Times New Roman;serif" w:hAnsi="Times New Roman;serif"/>
                <w:b w:val="false"/>
                <w:color w:val="000000"/>
                <w:sz w:val="24"/>
              </w:rPr>
              <w:t>[GRANT DATE]</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Performance Period:</w:t>
            </w:r>
          </w:p>
        </w:tc>
        <w:tc>
          <w:tcPr>
            <w:tcW w:w="7986" w:type="dxa"/>
            <w:gridSpan w:val="3"/>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erif" w:hAnsi="Times New Roman;serif"/>
                <w:b w:val="false"/>
                <w:color w:val="000000"/>
                <w:sz w:val="24"/>
              </w:rPr>
              <w:t>[________________] (“</w:t>
            </w:r>
            <w:r>
              <w:rPr>
                <w:rFonts w:ascii="Times New Roman;serif" w:hAnsi="Times New Roman;serif"/>
                <w:b/>
                <w:i/>
                <w:color w:val="000000"/>
                <w:sz w:val="24"/>
              </w:rPr>
              <w:t>Performance Period</w:t>
            </w:r>
            <w:r>
              <w:rPr>
                <w:color w:val="000000"/>
              </w:rPr>
              <w:t>”</w:t>
            </w:r>
            <w:r>
              <w:rPr>
                <w:rFonts w:ascii="Times New Roman;serif" w:hAnsi="Times New Roman;serif"/>
                <w:b w:val="false"/>
                <w:color w:val="000000"/>
                <w:sz w:val="24"/>
              </w:rPr>
              <w:t>)</w:t>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erif" w:hAnsi="Times New Roman;serif"/>
                <w:b/>
                <w:color w:val="000000"/>
                <w:sz w:val="24"/>
              </w:rPr>
              <w:t>Number of Performance Share Units (“</w:t>
            </w:r>
            <w:r>
              <w:rPr>
                <w:rFonts w:ascii="Times New Roman;serif" w:hAnsi="Times New Roman;serif"/>
                <w:b/>
                <w:i/>
                <w:color w:val="000000"/>
                <w:sz w:val="24"/>
              </w:rPr>
              <w:t>PSUs</w:t>
            </w:r>
            <w:r>
              <w:rPr>
                <w:color w:val="000000"/>
              </w:rPr>
              <w:t>”</w:t>
            </w:r>
            <w:r>
              <w:rPr>
                <w:rFonts w:ascii="Times New Roman;serif" w:hAnsi="Times New Roman;serif"/>
                <w:b/>
                <w:color w:val="000000"/>
                <w:sz w:val="24"/>
              </w:rPr>
              <w:t>)</w:t>
            </w:r>
            <w:r>
              <w:rPr>
                <w:rFonts w:ascii="Times New Roman;serif" w:hAnsi="Times New Roman;serif"/>
                <w:b w:val="false"/>
                <w:color w:val="000000"/>
                <w:sz w:val="24"/>
              </w:rPr>
              <w:t>:</w:t>
            </w:r>
          </w:p>
        </w:tc>
        <w:tc>
          <w:tcPr>
            <w:tcW w:w="7986" w:type="dxa"/>
            <w:gridSpan w:val="3"/>
            <w:tcBorders/>
            <w:tcMar>
              <w:top w:w="0" w:type="dxa"/>
              <w:left w:w="0" w:type="dxa"/>
              <w:bottom w:w="0" w:type="dxa"/>
              <w:right w:w="0" w:type="dxa"/>
            </w:tcMar>
            <w:vAlign w:val="center"/>
          </w:tcPr>
          <w:p>
            <w:pPr>
              <w:pStyle w:val="TableContents"/>
              <w:bidi w:val="0"/>
              <w:spacing w:lineRule="auto" w:line="288" w:before="60" w:after="60"/>
              <w:jc w:val="left"/>
              <w:rPr/>
            </w:pPr>
            <w:r>
              <w:rPr>
                <w:rFonts w:ascii="Times New Roman;serif" w:hAnsi="Times New Roman;serif"/>
                <w:b w:val="false"/>
                <w:color w:val="000000"/>
                <w:sz w:val="24"/>
              </w:rPr>
              <w:t xml:space="preserve">The actual number of PSUs that may vest shall be determined based on the attainment of the performance goals specified in </w:t>
            </w:r>
            <w:r>
              <w:rPr>
                <w:rFonts w:ascii="Times New Roman;serif" w:hAnsi="Times New Roman;serif"/>
                <w:b/>
                <w:color w:val="000000"/>
                <w:sz w:val="24"/>
              </w:rPr>
              <w:t>Appendix A</w:t>
            </w:r>
            <w:r>
              <w:rPr>
                <w:rFonts w:ascii="Times New Roman;serif" w:hAnsi="Times New Roman;serif"/>
                <w:b w:val="false"/>
                <w:color w:val="000000"/>
                <w:sz w:val="24"/>
              </w:rPr>
              <w:t>, as assessed by the Company’s Board of Directors or a committee thereof, as soon as reasonably practicable after the end of the Performance Period.</w:t>
            </w:r>
          </w:p>
          <w:p>
            <w:pPr>
              <w:pStyle w:val="TableContents"/>
              <w:bidi w:val="0"/>
              <w:spacing w:before="0" w:after="0"/>
              <w:jc w:val="left"/>
              <w:rPr/>
            </w:pPr>
            <w:r>
              <w:rPr/>
            </w:r>
          </w:p>
          <w:p>
            <w:pPr>
              <w:pStyle w:val="TableContents"/>
              <w:bidi w:val="0"/>
              <w:spacing w:lineRule="auto" w:line="288" w:before="60" w:after="60"/>
              <w:jc w:val="left"/>
              <w:rPr/>
            </w:pPr>
            <w:r>
              <w:rPr>
                <w:rFonts w:ascii="Times New Roman;serif" w:hAnsi="Times New Roman;serif"/>
                <w:b w:val="false"/>
                <w:color w:val="000000"/>
                <w:sz w:val="24"/>
              </w:rPr>
              <w:t>The target number of PSUs for the Performance Period is [AMOUNT] (the “</w:t>
            </w:r>
            <w:r>
              <w:rPr>
                <w:rFonts w:ascii="Times New Roman;serif" w:hAnsi="Times New Roman;serif"/>
                <w:b/>
                <w:i/>
                <w:color w:val="000000"/>
                <w:sz w:val="24"/>
              </w:rPr>
              <w:t>Target PSUs</w:t>
            </w:r>
            <w:r>
              <w:rPr>
                <w:color w:val="000000"/>
              </w:rPr>
              <w:t>”</w:t>
            </w:r>
            <w:r>
              <w:rPr>
                <w:rFonts w:ascii="Times New Roman;serif" w:hAnsi="Times New Roman;serif"/>
                <w:b w:val="false"/>
                <w:color w:val="000000"/>
                <w:sz w:val="24"/>
              </w:rPr>
              <w:t xml:space="preserve">). </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6" w:type="dxa"/>
            <w:gridSpan w:val="3"/>
            <w:tcBorders/>
            <w:tcMar>
              <w:top w:w="0" w:type="dxa"/>
              <w:left w:w="0" w:type="dxa"/>
              <w:bottom w:w="0" w:type="dxa"/>
              <w:right w:w="0" w:type="dxa"/>
            </w:tcMar>
            <w:vAlign w:val="center"/>
          </w:tcPr>
          <w:p>
            <w:pPr>
              <w:pStyle w:val="TableContents"/>
              <w:bidi w:val="0"/>
              <w:spacing w:before="60" w:after="60"/>
              <w:jc w:val="left"/>
              <w:rPr/>
            </w:pPr>
            <w:r>
              <w:rPr/>
            </w:r>
          </w:p>
        </w:tc>
      </w:tr>
    </w:tbl>
    <w:p>
      <w:pPr>
        <w:pStyle w:val="TextBody"/>
        <w:bidi w:val="0"/>
        <w:spacing w:lineRule="auto" w:line="276" w:before="120" w:after="283"/>
        <w:ind w:left="0" w:right="0" w:firstLine="720"/>
        <w:jc w:val="left"/>
        <w:rPr/>
      </w:pPr>
      <w:r>
        <w:rPr>
          <w:rFonts w:ascii="Times New Roman;serif" w:hAnsi="Times New Roman;serif"/>
          <w:b/>
          <w:color w:val="000000"/>
          <w:sz w:val="24"/>
        </w:rPr>
        <w:t>Additional Terms/Acknowledgement</w:t>
      </w:r>
      <w:r>
        <w:rPr>
          <w:rFonts w:ascii="Times New Roman;serif" w:hAnsi="Times New Roman;serif"/>
          <w:b w:val="false"/>
          <w:color w:val="000000"/>
          <w:sz w:val="24"/>
        </w:rPr>
        <w:t>: The undersigned Participant acknowledges receipt of, and understands and agrees to, the Award Notice, the Performance Share Unit Award Agreement and the Plan Summary for the Plan. Participant further acknowledges that as of the Grant Date, the Award Notice, the Performance Share Unit Award Agreement and the Plan set forth the entire understanding between Participant and the Company regarding the Award and supersede all prior oral and written agreements on the subject.</w:t>
      </w:r>
    </w:p>
    <w:p>
      <w:pPr>
        <w:pStyle w:val="TextBody"/>
        <w:bidi w:val="0"/>
        <w:spacing w:before="120" w:after="283"/>
        <w:jc w:val="left"/>
        <w:rPr/>
      </w:pPr>
      <w:r>
        <w:rPr/>
      </w:r>
    </w:p>
    <w:tbl>
      <w:tblPr>
        <w:tblW w:w="7200" w:type="dxa"/>
        <w:jc w:val="left"/>
        <w:tblInd w:w="0" w:type="dxa"/>
        <w:tblLayout w:type="fixed"/>
        <w:tblCellMar>
          <w:top w:w="28" w:type="dxa"/>
          <w:left w:w="28" w:type="dxa"/>
          <w:bottom w:w="28" w:type="dxa"/>
          <w:right w:w="28" w:type="dxa"/>
        </w:tblCellMar>
      </w:tblPr>
      <w:tblGrid>
        <w:gridCol w:w="1419"/>
        <w:gridCol w:w="1247"/>
        <w:gridCol w:w="1249"/>
        <w:gridCol w:w="961"/>
        <w:gridCol w:w="961"/>
        <w:gridCol w:w="1363"/>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PACIRA BIOSCIENCES, INC.</w:t>
            </w:r>
          </w:p>
          <w:p>
            <w:pPr>
              <w:pStyle w:val="TableContents"/>
              <w:bidi w:val="0"/>
              <w:spacing w:before="0" w:after="0"/>
              <w:jc w:val="left"/>
              <w:rPr/>
            </w:pPr>
            <w:r>
              <w:rPr/>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w:t>
            </w:r>
          </w:p>
          <w:p>
            <w:pPr>
              <w:pStyle w:val="TableContents"/>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Title: ___________________________</w:t>
            </w:r>
          </w:p>
        </w:tc>
        <w:tc>
          <w:tcPr>
            <w:tcW w:w="3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[ELECTRONIC SIGNATURE]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[ACCEPTANCE DATE]</w:t>
            </w:r>
          </w:p>
        </w:tc>
      </w:tr>
      <w:tr>
        <w:trPr/>
        <w:tc>
          <w:tcPr>
            <w:tcW w:w="7200"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Times New Roman;serif" w:hAnsi="Times New Roman;serif"/>
                <w:b/>
                <w:color w:val="000000"/>
                <w:sz w:val="24"/>
              </w:rPr>
              <w:t>Attachments</w:t>
            </w:r>
            <w:r>
              <w:rPr>
                <w:rFonts w:ascii="Times New Roman;serif" w:hAnsi="Times New Roman;serif"/>
                <w:b w:val="false"/>
                <w:color w:val="000000"/>
                <w:sz w:val="24"/>
              </w:rPr>
              <w:t>:</w:t>
              <w:br/>
              <w:t>1. Performance Share Unit Award Agreement</w:t>
            </w:r>
          </w:p>
          <w:p>
            <w:pPr>
              <w:pStyle w:val="TableContents"/>
              <w:bidi w:val="0"/>
              <w:spacing w:lineRule="auto" w:line="288" w:before="0" w:after="60"/>
              <w:jc w:val="left"/>
              <w:rPr>
                <w:rFonts w:ascii="Times New Roman;serif" w:hAnsi="Times New Roman;serif"/>
                <w:b w:val="false"/>
                <w:color w:val="000000"/>
                <w:sz w:val="24"/>
              </w:rPr>
            </w:pPr>
            <w:r>
              <w:rPr>
                <w:rFonts w:ascii="Times New Roman;serif" w:hAnsi="Times New Roman;serif"/>
                <w:b w:val="false"/>
                <w:color w:val="000000"/>
                <w:sz w:val="24"/>
              </w:rPr>
              <w:t>2. Plan Summary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80060"/>
                <wp:effectExtent l="0" t="0" r="0" b="0"/>
                <wp:wrapNone/>
                <wp:docPr id="54" name="Frame52"/>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lineRule="auto" w:line="417" w:before="0" w:after="0"/>
                              <w:jc w:val="left"/>
                              <w:rPr>
                                <w:color w:val="000000"/>
                              </w:rPr>
                            </w:pPr>
                            <w:r>
                              <w:rPr>
                                <w:color w:val="000000"/>
                              </w:rPr>
                              <w:t>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417"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PACIRA BIOSCIENCES,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2011 STOCK INCENTIVE PLAN</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PERFORMANCE SHARE UNIT AWARD AGREEMENT</w:t>
      </w:r>
    </w:p>
    <w:p>
      <w:pPr>
        <w:pStyle w:val="TextBody"/>
        <w:bidi w:val="0"/>
        <w:spacing w:lineRule="auto" w:line="288" w:before="240" w:after="240"/>
        <w:ind w:left="0" w:right="0" w:firstLine="720"/>
        <w:jc w:val="left"/>
        <w:rPr/>
      </w:pPr>
      <w:r>
        <w:rPr>
          <w:rFonts w:ascii="Times New Roman;serif" w:hAnsi="Times New Roman;serif"/>
          <w:b w:val="false"/>
          <w:color w:val="000000"/>
          <w:sz w:val="24"/>
        </w:rPr>
        <w:t>Pursuant to your Performance Share Unit Award Notice (the "</w:t>
      </w:r>
      <w:r>
        <w:rPr>
          <w:rFonts w:ascii="Times New Roman;serif" w:hAnsi="Times New Roman;serif"/>
          <w:b/>
          <w:i/>
          <w:color w:val="000000"/>
          <w:sz w:val="24"/>
        </w:rPr>
        <w:t>Award Notice</w:t>
      </w:r>
      <w:r>
        <w:rPr>
          <w:rFonts w:ascii="Times New Roman;serif" w:hAnsi="Times New Roman;serif"/>
          <w:b w:val="false"/>
          <w:color w:val="000000"/>
          <w:sz w:val="24"/>
        </w:rPr>
        <w:t>") and this Performance Share Unit Award Agreement (this "</w:t>
      </w:r>
      <w:r>
        <w:rPr>
          <w:rFonts w:ascii="Times New Roman;serif" w:hAnsi="Times New Roman;serif"/>
          <w:b/>
          <w:i/>
          <w:color w:val="000000"/>
          <w:sz w:val="24"/>
        </w:rPr>
        <w:t>Agreement</w:t>
      </w:r>
      <w:r>
        <w:rPr>
          <w:rFonts w:ascii="Times New Roman;serif" w:hAnsi="Times New Roman;serif"/>
          <w:b w:val="false"/>
          <w:color w:val="000000"/>
          <w:sz w:val="24"/>
        </w:rPr>
        <w:t>"), Pacira BioSciences, Inc. (the "</w:t>
      </w:r>
      <w:r>
        <w:rPr>
          <w:rFonts w:ascii="Times New Roman;serif" w:hAnsi="Times New Roman;serif"/>
          <w:b/>
          <w:i/>
          <w:color w:val="000000"/>
          <w:sz w:val="24"/>
        </w:rPr>
        <w:t>Company</w:t>
      </w:r>
      <w:r>
        <w:rPr>
          <w:rFonts w:ascii="Times New Roman;serif" w:hAnsi="Times New Roman;serif"/>
          <w:b w:val="false"/>
          <w:color w:val="000000"/>
          <w:sz w:val="24"/>
        </w:rPr>
        <w:t>") has granted you a Performance Share Unit Award (the "</w:t>
      </w:r>
      <w:r>
        <w:rPr>
          <w:rFonts w:ascii="Times New Roman;serif" w:hAnsi="Times New Roman;serif"/>
          <w:b/>
          <w:i/>
          <w:color w:val="000000"/>
          <w:sz w:val="24"/>
        </w:rPr>
        <w:t>Award</w:t>
      </w:r>
      <w:r>
        <w:rPr>
          <w:rFonts w:ascii="Times New Roman;serif" w:hAnsi="Times New Roman;serif"/>
          <w:b w:val="false"/>
          <w:color w:val="000000"/>
          <w:sz w:val="24"/>
        </w:rPr>
        <w:t>") under its Amended and Restated 2011 Stock Incentive Plan (the "</w:t>
      </w:r>
      <w:r>
        <w:rPr>
          <w:rFonts w:ascii="Times New Roman;serif" w:hAnsi="Times New Roman;serif"/>
          <w:b/>
          <w:i/>
          <w:color w:val="000000"/>
          <w:sz w:val="24"/>
        </w:rPr>
        <w:t>Plan</w:t>
      </w:r>
      <w:r>
        <w:rPr>
          <w:rFonts w:ascii="Times New Roman;serif" w:hAnsi="Times New Roman;serif"/>
          <w:b w:val="false"/>
          <w:color w:val="000000"/>
          <w:sz w:val="24"/>
        </w:rPr>
        <w:t>") for the target number of Performance Share Units (“</w:t>
      </w:r>
      <w:r>
        <w:rPr>
          <w:rFonts w:ascii="Times New Roman;serif" w:hAnsi="Times New Roman;serif"/>
          <w:b/>
          <w:i/>
          <w:color w:val="000000"/>
          <w:sz w:val="24"/>
        </w:rPr>
        <w:t>PSUs</w:t>
      </w:r>
      <w:r>
        <w:rPr>
          <w:color w:val="000000"/>
        </w:rPr>
        <w:t>”</w:t>
      </w:r>
      <w:r>
        <w:rPr>
          <w:rFonts w:ascii="Times New Roman;serif" w:hAnsi="Times New Roman;serif"/>
          <w:b w:val="false"/>
          <w:color w:val="000000"/>
          <w:sz w:val="24"/>
        </w:rPr>
        <w:t>) indicated in your Award Notice. Capitalized terms not explicitly defined in this Agreement but defined in the Plan shall have the same definitions as in the Plan.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details of the Award are as follows:</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1.    Number of PSUs Subject to Award</w:t>
      </w:r>
    </w:p>
    <w:p>
      <w:pPr>
        <w:pStyle w:val="TextBody"/>
        <w:bidi w:val="0"/>
        <w:spacing w:lineRule="auto" w:line="288" w:before="240" w:after="283"/>
        <w:ind w:left="0" w:right="0" w:firstLine="720"/>
        <w:jc w:val="left"/>
        <w:rPr/>
      </w:pPr>
      <w:r>
        <w:rPr>
          <w:rFonts w:ascii="Times New Roman;serif" w:hAnsi="Times New Roman;serif"/>
          <w:b w:val="false"/>
          <w:color w:val="000000"/>
          <w:sz w:val="24"/>
        </w:rPr>
        <w:t>This Award is a performance-based award, which is based on the attainment of the performance goals set by the Company’s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or a committee thereof at the beginning of the performance period set forth in the Award Notice (the “</w:t>
      </w:r>
      <w:r>
        <w:rPr>
          <w:rFonts w:ascii="Times New Roman;serif" w:hAnsi="Times New Roman;serif"/>
          <w:b/>
          <w:i/>
          <w:color w:val="000000"/>
          <w:sz w:val="24"/>
        </w:rPr>
        <w:t>Performance Period</w:t>
      </w:r>
      <w:r>
        <w:rPr>
          <w:color w:val="000000"/>
        </w:rPr>
        <w:t>”</w:t>
      </w:r>
      <w:r>
        <w:rPr>
          <w:rFonts w:ascii="Times New Roman;serif" w:hAnsi="Times New Roman;serif"/>
          <w:b w:val="false"/>
          <w:color w:val="000000"/>
          <w:sz w:val="24"/>
        </w:rPr>
        <w:t xml:space="preserve">). The performance goals are set forth in </w:t>
      </w:r>
      <w:r>
        <w:rPr>
          <w:rFonts w:ascii="Times New Roman;serif" w:hAnsi="Times New Roman;serif"/>
          <w:b/>
          <w:color w:val="000000"/>
          <w:sz w:val="24"/>
        </w:rPr>
        <w:t>Appendix A</w:t>
      </w:r>
      <w:r>
        <w:rPr>
          <w:color w:val="000000"/>
        </w:rPr>
        <w:t xml:space="preserve"> </w:t>
      </w:r>
      <w:r>
        <w:rPr>
          <w:rFonts w:ascii="Times New Roman;serif" w:hAnsi="Times New Roman;serif"/>
          <w:b w:val="false"/>
          <w:color w:val="000000"/>
          <w:sz w:val="24"/>
        </w:rPr>
        <w:t>and the aggregate target number of PSUs for the Performance Period (the “</w:t>
      </w:r>
      <w:r>
        <w:rPr>
          <w:rFonts w:ascii="Times New Roman;serif" w:hAnsi="Times New Roman;serif"/>
          <w:b/>
          <w:i/>
          <w:color w:val="000000"/>
          <w:sz w:val="24"/>
        </w:rPr>
        <w:t>Target PSUs</w:t>
      </w:r>
      <w:r>
        <w:rPr>
          <w:color w:val="000000"/>
        </w:rPr>
        <w:t>”</w:t>
      </w:r>
      <w:r>
        <w:rPr>
          <w:rFonts w:ascii="Times New Roman;serif" w:hAnsi="Times New Roman;serif"/>
          <w:b w:val="false"/>
          <w:color w:val="000000"/>
          <w:sz w:val="24"/>
        </w:rPr>
        <w:t>) is set forth in the Award Notice. The total number of PSUs that may be earned and become eligible to vest under this Award is between [__%-___%] of the Target PSUs (with attainment between this range to be subject to straight-line interpolation). The Board will determine as soon as reasonably practicable after the end of the Performance Period, but in any event by [DATE], the attainment level of the performance goals and the number of PSUs that have been earned under the Award (the “</w:t>
      </w:r>
      <w:r>
        <w:rPr>
          <w:rFonts w:ascii="Times New Roman;serif" w:hAnsi="Times New Roman;serif"/>
          <w:b/>
          <w:i/>
          <w:color w:val="000000"/>
          <w:sz w:val="24"/>
        </w:rPr>
        <w:t>Earned PSUs</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2.    Vesting of Earned PSUs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The Earned PSUs will vest in four equal annual installments, with the first installment vesting on [DATE] and the final installment vesting on [DATE] (the "</w:t>
      </w:r>
      <w:r>
        <w:rPr>
          <w:rFonts w:ascii="Times New Roman;serif" w:hAnsi="Times New Roman;serif"/>
          <w:b/>
          <w:i/>
          <w:color w:val="000000"/>
          <w:sz w:val="24"/>
        </w:rPr>
        <w:t>Vesting Schedule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One share of the Company’s Common Stock will be issuable for each Earned PSU that vests. Earned PSUs that have vested and are no longer subject to forfeiture according to the Vesting Schedule are referred to herein as "</w:t>
      </w:r>
      <w:r>
        <w:rPr>
          <w:rFonts w:ascii="Times New Roman;serif" w:hAnsi="Times New Roman;serif"/>
          <w:b/>
          <w:i/>
          <w:color w:val="000000"/>
          <w:sz w:val="24"/>
        </w:rPr>
        <w:t>Vested Units</w:t>
      </w:r>
      <w:r>
        <w:rPr>
          <w:rFonts w:ascii="Times New Roman;serif" w:hAnsi="Times New Roman;serif"/>
          <w:b w:val="false"/>
          <w:color w:val="000000"/>
          <w:sz w:val="24"/>
        </w:rPr>
        <w:t>." Earned PSUs that have not vested and remain subject to forfeiture under the Vesting Schedule are referred to herein as "</w:t>
      </w:r>
      <w:r>
        <w:rPr>
          <w:rFonts w:ascii="Times New Roman;serif" w:hAnsi="Times New Roman;serif"/>
          <w:b/>
          <w:i/>
          <w:color w:val="000000"/>
          <w:sz w:val="24"/>
        </w:rPr>
        <w:t>Unvested Units</w:t>
      </w:r>
      <w:r>
        <w:rPr>
          <w:rFonts w:ascii="Times New Roman;serif" w:hAnsi="Times New Roman;serif"/>
          <w:b w:val="false"/>
          <w:color w:val="000000"/>
          <w:sz w:val="24"/>
        </w:rPr>
        <w:t>." The Unvested Units will vest (and to the extent so vested cease to be Unvested Units remaining subject to forfeiture) in accordance with the Vesting Schedule (the Unvested and Vested Units are collectively referred to herein as the "</w:t>
      </w:r>
      <w:r>
        <w:rPr>
          <w:rFonts w:ascii="Times New Roman;serif" w:hAnsi="Times New Roman;serif"/>
          <w:b/>
          <w:i/>
          <w:color w:val="000000"/>
          <w:sz w:val="24"/>
        </w:rPr>
        <w:t>Units</w:t>
      </w:r>
      <w:r>
        <w:rPr>
          <w:rFonts w:ascii="Times New Roman;serif" w:hAnsi="Times New Roman;serif"/>
          <w:b w:val="false"/>
          <w:color w:val="000000"/>
          <w:sz w:val="24"/>
        </w:rPr>
        <w:t>"). As soon as practicable, but in any event within 60 days, after Unvested Units become Vested Units, the Company will settle the Vested Units by issuing to you one share of the Company’s Common Stock for each Vested Unit. Except as provided in Section 3, the Award will terminate and the Unvested Units will be subject to forfeiture upon your Termination of Service.</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 xml:space="preserve">3.    Termination of Service; Reorganization Event </w:t>
      </w:r>
    </w:p>
    <w:p>
      <w:pPr>
        <w:pStyle w:val="TextBody"/>
        <w:bidi w:val="0"/>
        <w:spacing w:lineRule="auto" w:line="288" w:before="240" w:after="283"/>
        <w:ind w:left="0" w:right="0" w:firstLine="720"/>
        <w:jc w:val="left"/>
        <w:rPr/>
      </w:pPr>
      <w:r>
        <w:rPr>
          <w:rFonts w:ascii="Times New Roman;serif" w:hAnsi="Times New Roman;serif"/>
          <w:b/>
          <w:color w:val="000000"/>
          <w:sz w:val="24"/>
        </w:rPr>
        <w:t>3.1    </w:t>
      </w:r>
      <w:r>
        <w:rPr>
          <w:rFonts w:ascii="Times New Roman;serif" w:hAnsi="Times New Roman;serif"/>
          <w:b w:val="false"/>
          <w:color w:val="000000"/>
          <w:sz w:val="24"/>
        </w:rPr>
        <w:t>Unless otherwise provided in this Section 3, if you cease to be an employee, officer, or director of, or consultant or advisor to, the Company for any reason, any portion of the Award that has not vested will immediately terminate and all Unvested Units shall immediately be forfeited without payment of any further consideration to you. Approved leaves of absence are considered to be active employment, provided they do not exceed the amount of leave to which you might be entitled under applicable Company policies (including for active duty military), and under disability, family and medical leave laws. For approved leaves that exceed such limits, any vesting of the Award is subject to the discretion of the Board or committee thereof.</w:t>
      </w:r>
    </w:p>
    <w:p>
      <w:pPr>
        <w:pStyle w:val="TextBody"/>
        <w:bidi w:val="0"/>
        <w:spacing w:lineRule="auto" w:line="288" w:before="240" w:after="283"/>
        <w:ind w:left="0" w:right="0" w:firstLine="720"/>
        <w:jc w:val="left"/>
        <w:rPr/>
      </w:pPr>
      <w:r>
        <w:rPr>
          <w:rFonts w:ascii="Times New Roman;serif" w:hAnsi="Times New Roman;serif"/>
          <w:b/>
          <w:color w:val="000000"/>
          <w:sz w:val="24"/>
        </w:rPr>
        <w:t>3.2    </w:t>
      </w:r>
      <w:r>
        <w:rPr>
          <w:rFonts w:ascii="Times New Roman;serif" w:hAnsi="Times New Roman;serif"/>
          <w:b w:val="false"/>
          <w:color w:val="000000"/>
          <w:sz w:val="24"/>
        </w:rPr>
        <w:t xml:space="preserve">In the event of your death or disability (within the meaning of Section 22(e)(3) of the Code) after the end of the Performance Period, any Earned PSUs that are Unvested Units will become Vested Units and be settled in shares of the Company’s Common Stock in the normal course, as provided in Section 2. </w:t>
      </w:r>
    </w:p>
    <w:p>
      <w:pPr>
        <w:pStyle w:val="TextBody"/>
        <w:bidi w:val="0"/>
        <w:spacing w:lineRule="auto" w:line="288" w:before="240" w:after="283"/>
        <w:ind w:left="0" w:right="0" w:firstLine="720"/>
        <w:jc w:val="left"/>
        <w:rPr/>
      </w:pPr>
      <w:r>
        <w:rPr>
          <w:rFonts w:ascii="Times New Roman;serif" w:hAnsi="Times New Roman;serif"/>
          <w:b/>
          <w:color w:val="000000"/>
          <w:sz w:val="24"/>
        </w:rPr>
        <w:t>3.3    </w:t>
      </w:r>
      <w:r>
        <w:rPr>
          <w:rFonts w:ascii="Times New Roman;serif" w:hAnsi="Times New Roman;serif"/>
          <w:b w:val="false"/>
          <w:color w:val="000000"/>
          <w:sz w:val="24"/>
        </w:rPr>
        <w:t>In the event that the Company terminates your employment without Cause (as defined below) after the end of the Performance Period or in the event you terminate your employment for Good Reason (as defined below) after the end of the Performance Period, such portion of any Earned PSUs that are Unvested Units and that would have vested in the [nine (9)] [twelve (12)] month period following the termination date had you continued to be employed by the Company for such period will become Vested Units; provided, however, that such acceleration of vesting is expressly contingent upon your execution and delivery of a severance and general release of claims agreement drafted by and satisfactory to counsel for the Company, which release must be executed and become effective within fifty-two (52) days following the termination date.</w:t>
      </w:r>
    </w:p>
    <w:p>
      <w:pPr>
        <w:pStyle w:val="TextBody"/>
        <w:bidi w:val="0"/>
        <w:spacing w:lineRule="auto" w:line="288" w:before="240" w:after="283"/>
        <w:ind w:left="0" w:right="0" w:firstLine="720"/>
        <w:jc w:val="left"/>
        <w:rPr/>
      </w:pPr>
      <w:r>
        <w:rPr>
          <w:color w:val="000000"/>
        </w:rPr>
        <w:t>“</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means (a) your failure to substantially perform your duties to the Company after there has been delivered to you written notice setting forth in detail the specific respects in which the Board believes that you have not substantially performed your duties and, if the Company reasonably considers the situation to be correctable, a demand for substantial performance and opportunity to cure, giving you thirty (30) calendar days after you receive such notice to correct the situation; (b) your having engaged in fraud, misconduct involving sexual harassment and/or sexual assault, dishonesty, gross negligence or having otherwise acted in a manner causing material injury to the Company, including reputational harm, or in intentional disregard for the Company’s best interests; (c) your failure to follow reasonable and lawful instructions from the Board and your failure to cure such failure after receiving twenty (20) days advance written notice; (d) your material breach of the terms of any Employment Agreement with the Company or the Employee Confidential Information and Inventions Assignment Agreement with the Company or any other similar written agreement between the parties that may be in effect from time to time; or (e) your conviction of, or pleading guilty or nolo contendere to, any misdemeanor involving dishonesty or moral turpitude or related to the Company’s business, or any felony. The determination as to whether Cause exists for termination your employment will be made by the Board in its reasonable judgment.</w:t>
      </w:r>
    </w:p>
    <w:p>
      <w:pPr>
        <w:pStyle w:val="TextBody"/>
        <w:bidi w:val="0"/>
        <w:spacing w:lineRule="auto" w:line="288" w:before="240" w:after="283"/>
        <w:ind w:left="0" w:right="0" w:firstLine="720"/>
        <w:jc w:val="left"/>
        <w:rPr/>
      </w:pPr>
      <w:r>
        <w:rPr>
          <w:color w:val="000000"/>
        </w:rPr>
        <w:t>“</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the occurrence of any one or more of the following events without your prior written consent: (a) any material reduction of your then effective base salary other than a reduction that is related to a cross-executive team salary reduction or (b) a material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reduction in your responsibilities or duties; provided, however, that no such event or condition will constitute Good Reason unless (x) you give the Company a written notice of termination for Good Reason not more than ninety (90) days after the initial existence of the condition constituting Good Reason (which notice specifies in reasonable detail the condition giving rise to Good Reason), (y) the condition giving rise to Good Reason (if susceptible to correction) is not corrected by the Company within thirty (30) days of its receipt of such notice and (z) the termination date occurs after the expiration of such correction period and within one (1) year following the Company’s receipt of such notice.</w:t>
      </w:r>
    </w:p>
    <w:p>
      <w:pPr>
        <w:pStyle w:val="TextBody"/>
        <w:bidi w:val="0"/>
        <w:spacing w:lineRule="auto" w:line="288" w:before="240" w:after="283"/>
        <w:ind w:left="0" w:right="0" w:firstLine="720"/>
        <w:jc w:val="left"/>
        <w:rPr/>
      </w:pPr>
      <w:r>
        <w:rPr>
          <w:rFonts w:ascii="Times New Roman;serif" w:hAnsi="Times New Roman;serif"/>
          <w:b/>
          <w:color w:val="000000"/>
          <w:sz w:val="24"/>
        </w:rPr>
        <w:t>3.4    </w:t>
      </w:r>
      <w:r>
        <w:rPr>
          <w:rFonts w:ascii="Times New Roman;serif" w:hAnsi="Times New Roman;serif"/>
          <w:b w:val="false"/>
          <w:color w:val="000000"/>
          <w:sz w:val="24"/>
        </w:rPr>
        <w:t xml:space="preserve">In the event of a Reorganization Event, if you are actively employed with the Company as of the date of the Reorganization Event, you will be entitled to the following: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 if the Reorganization Event occurs during the Performance Period, you will be deemed to have Earned PSUs under the Award at the greater of (i) that number of PSUs that would be Earned PSUs based on actual performance as of the date of the Reorganization Event (as determined by the Board or committee thereof) or (ii) the target number of PSUs under the Award, and such deemed Earned PSUs will become Vested Units as of immediately prior to the Reorganization Event; or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 if the Reorganization Event occurs after the end of the Performance Period, any Earned PSUs based on actual performance that are Unvested Units will become Vested Units as of immediately prior to the Reorganization Event.</w:t>
      </w:r>
    </w:p>
    <w:p>
      <w:pPr>
        <w:pStyle w:val="TextBody"/>
        <w:bidi w:val="0"/>
        <w:spacing w:lineRule="auto" w:line="288" w:before="240" w:after="283"/>
        <w:ind w:left="0" w:right="0" w:hanging="720"/>
        <w:jc w:val="left"/>
        <w:rPr/>
      </w:pPr>
      <w:r>
        <w:rPr>
          <w:rFonts w:ascii="Times New Roman;serif" w:hAnsi="Times New Roman;serif"/>
          <w:b/>
          <w:color w:val="000000"/>
          <w:sz w:val="24"/>
        </w:rPr>
        <w:t>4.</w:t>
      </w:r>
      <w:r>
        <w:rPr>
          <w:color w:val="000000"/>
        </w:rPr>
        <w:t>    </w:t>
      </w:r>
      <w:r>
        <w:rPr>
          <w:rFonts w:ascii="Times New Roman;serif" w:hAnsi="Times New Roman;serif"/>
          <w:b/>
          <w:color w:val="000000"/>
          <w:sz w:val="24"/>
        </w:rPr>
        <w:t>Securities Law Compliance</w:t>
      </w:r>
    </w:p>
    <w:p>
      <w:pPr>
        <w:pStyle w:val="TextBody"/>
        <w:bidi w:val="0"/>
        <w:spacing w:lineRule="auto" w:line="288" w:before="240" w:after="283"/>
        <w:ind w:left="0" w:right="0" w:firstLine="720"/>
        <w:jc w:val="left"/>
        <w:rPr/>
      </w:pPr>
      <w:r>
        <w:rPr>
          <w:rFonts w:ascii="Times New Roman;serif" w:hAnsi="Times New Roman;serif"/>
          <w:b/>
          <w:color w:val="000000"/>
          <w:sz w:val="24"/>
        </w:rPr>
        <w:t>4.1</w:t>
      </w:r>
      <w:r>
        <w:rPr>
          <w:color w:val="000000"/>
        </w:rPr>
        <w:t>    </w:t>
      </w:r>
      <w:r>
        <w:rPr>
          <w:rFonts w:ascii="Times New Roman;serif" w:hAnsi="Times New Roman;serif"/>
          <w:b w:val="false"/>
          <w:color w:val="000000"/>
          <w:sz w:val="24"/>
        </w:rPr>
        <w:t>You represent and warrant that you (a) have been furnished with a copy of the prospectus for the Plan and all information which you deem necessary to evaluate the merits and risks of receipt of the Award, (b) have had the opportunity to ask questions and receive answers concerning the information received about the Award and the Company, and (c) have been given the opportunity to obtain any additional information you deem necessary to verify the accuracy of any information obtained concerning the Award and the Company.</w:t>
      </w:r>
    </w:p>
    <w:p>
      <w:pPr>
        <w:pStyle w:val="TextBody"/>
        <w:bidi w:val="0"/>
        <w:spacing w:lineRule="auto" w:line="288" w:before="240" w:after="283"/>
        <w:ind w:left="0" w:right="0" w:firstLine="720"/>
        <w:jc w:val="left"/>
        <w:rPr/>
      </w:pPr>
      <w:r>
        <w:rPr>
          <w:rFonts w:ascii="Times New Roman;serif" w:hAnsi="Times New Roman;serif"/>
          <w:b/>
          <w:color w:val="000000"/>
          <w:sz w:val="24"/>
        </w:rPr>
        <w:t>4.2</w:t>
      </w:r>
      <w:r>
        <w:rPr>
          <w:color w:val="000000"/>
        </w:rPr>
        <w:t>    </w:t>
      </w:r>
      <w:r>
        <w:rPr>
          <w:rFonts w:ascii="Times New Roman;serif" w:hAnsi="Times New Roman;serif"/>
          <w:b w:val="false"/>
          <w:color w:val="000000"/>
          <w:sz w:val="24"/>
        </w:rPr>
        <w:t>You hereby agree that you will in no event sell or distribute all or any part of the shares of the Company's Common Stock that you receive pursuant to settlement of this Award (the "</w:t>
      </w:r>
      <w:r>
        <w:rPr>
          <w:rFonts w:ascii="Times New Roman;serif" w:hAnsi="Times New Roman;serif"/>
          <w:b/>
          <w:i/>
          <w:color w:val="000000"/>
          <w:sz w:val="24"/>
        </w:rPr>
        <w:t>Shares</w:t>
      </w:r>
      <w:r>
        <w:rPr>
          <w:rFonts w:ascii="Times New Roman;serif" w:hAnsi="Times New Roman;serif"/>
          <w:b w:val="false"/>
          <w:color w:val="000000"/>
          <w:sz w:val="24"/>
        </w:rPr>
        <w:t>") unless (a) there is an effective registration statement under the Securities Act and applicable state securities laws covering any such transaction involving the Shares or (b) the Company receives an opinion of your legal counsel (concurred in by legal counsel for the Company) stating that such transaction is exempt from registration or the Company otherwise satisfies itself that such transaction is exempt from registration. You understand that the Company has no obligation to you to maintain any registration of the Shares with the Securities and Exchange Commission and has not represented to you that it will so maintain registration of the Shares.</w:t>
      </w:r>
    </w:p>
    <w:p>
      <w:pPr>
        <w:pStyle w:val="TextBody"/>
        <w:bidi w:val="0"/>
        <w:spacing w:lineRule="auto" w:line="288" w:before="240" w:after="283"/>
        <w:ind w:left="0" w:right="0" w:firstLine="720"/>
        <w:jc w:val="left"/>
        <w:rPr/>
      </w:pPr>
      <w:r>
        <w:rPr>
          <w:rFonts w:ascii="Times New Roman;serif" w:hAnsi="Times New Roman;serif"/>
          <w:b/>
          <w:color w:val="000000"/>
          <w:sz w:val="24"/>
        </w:rPr>
        <w:t>4.3    </w:t>
      </w:r>
      <w:r>
        <w:rPr>
          <w:rFonts w:ascii="Times New Roman;serif" w:hAnsi="Times New Roman;serif"/>
          <w:b w:val="false"/>
          <w:color w:val="000000"/>
          <w:sz w:val="24"/>
        </w:rPr>
        <w:t>You confirm that you have been advised, prior to your receipt of the Shares, that neither the offering of the Shares nor any offering materials have been reviewed by any administrator under the Securities Act or any other applicable securities act (the "</w:t>
      </w:r>
      <w:r>
        <w:rPr>
          <w:rFonts w:ascii="Times New Roman;serif" w:hAnsi="Times New Roman;serif"/>
          <w:b/>
          <w:i/>
          <w:color w:val="000000"/>
          <w:sz w:val="24"/>
        </w:rPr>
        <w:t>Acts</w:t>
      </w:r>
      <w:r>
        <w:rPr>
          <w:rFonts w:ascii="Times New Roman;serif" w:hAnsi="Times New Roman;serif"/>
          <w:b w:val="false"/>
          <w:color w:val="000000"/>
          <w:sz w:val="24"/>
        </w:rPr>
        <w:t>") and that the Shares cannot be resold unless they are registered under the Acts or unless an exemption from such registration is available.</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rFonts w:ascii="Times New Roman;serif" w:hAnsi="Times New Roman;serif"/>
          <w:b/>
          <w:color w:val="000000"/>
          <w:sz w:val="24"/>
        </w:rPr>
        <w:t>4.4</w:t>
      </w:r>
      <w:r>
        <w:rPr>
          <w:color w:val="000000"/>
        </w:rPr>
        <w:t>    </w:t>
      </w:r>
      <w:r>
        <w:rPr>
          <w:rFonts w:ascii="Times New Roman;serif" w:hAnsi="Times New Roman;serif"/>
          <w:b w:val="false"/>
          <w:color w:val="000000"/>
          <w:sz w:val="24"/>
        </w:rPr>
        <w:t>You hereby agree to indemnify the Company and hold it harmless from and against any loss, claim or liability, including attorneys' fees or legal expenses, incurred by the Company as a result of any breach by you of, or any inaccuracy in, any representation, warranty or statement made by you in this Agreement or the breach by you of any terms or conditions of this Agreement.</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5.    Transfer Restrictions</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Units shall not be sold, transferred, assigned, encumbered, pledged or otherwise disposed of, whether voluntarily or by operation of law, except that you may name any beneficiary or beneficiaries (who may be named contingently or successively) to whom any benefit under this Agreement is to be paid in case you do not receive any or all such benefit during your lifetime. Each such designation will revoke all of your prior designations, must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6.    No Rights as Stockholder</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 shall not have voting or other rights as a stockholder of the Company with respect to the Units.</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7.    Independent Tax Advice</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You acknowledge that determining the actual tax consequences to you of receiving or disposing of the Units and Shares may be complicated. These tax consequences will depend, in part, on your specific situation and may also depend on the resolution of currently uncertain tax law and other variables not within the control of the Company. You are aware that you should consult a competent and independent tax advisor for a full understanding of the specific tax consequences to you of receiving the Units and receiving or disposing of the Shares. Prior to executing the Award Notice, you either have consulted with a competent tax advisor independent of the Company to obtain tax advice concerning the receipt of the Units and the receipt or disposition of the Shares in light of your specific situation or you have had the opportunity to consult with such a tax advisor but chose not to do so.</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8.    Book Entry Registration of the Shares</w:t>
      </w:r>
    </w:p>
    <w:p>
      <w:pPr>
        <w:pStyle w:val="TextBody"/>
        <w:bidi w:val="0"/>
        <w:spacing w:lineRule="auto" w:line="288" w:before="240" w:after="283"/>
        <w:jc w:val="left"/>
        <w:rPr>
          <w:color w:val="000000"/>
        </w:rPr>
      </w:pPr>
      <w:r>
        <w:rPr>
          <w:color w:val="000000"/>
        </w:rPr>
        <w:t>    </w:t>
      </w:r>
      <w:r>
        <w:rPr>
          <w:rFonts w:ascii="Times New Roman;serif" w:hAnsi="Times New Roman;serif"/>
          <w:b w:val="false"/>
          <w:color w:val="000000"/>
          <w:sz w:val="24"/>
        </w:rPr>
        <w:t>The Company will issue the Shares by registering the Shares in book entry form with the Company’s transfer agent in your name and the applicable restrictions will be noted in the records of the Company's transfer agent and in the book entry system.</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9.    Withholding</w:t>
      </w:r>
    </w:p>
    <w:p>
      <w:pPr>
        <w:pStyle w:val="TextBody"/>
        <w:bidi w:val="0"/>
        <w:spacing w:lineRule="auto" w:line="288" w:before="240" w:after="283"/>
        <w:ind w:left="0" w:right="0" w:firstLine="720"/>
        <w:jc w:val="left"/>
        <w:rPr/>
      </w:pPr>
      <w:r>
        <w:rPr>
          <w:rFonts w:ascii="Times New Roman;serif" w:hAnsi="Times New Roman;serif"/>
          <w:b/>
          <w:color w:val="000000"/>
          <w:sz w:val="24"/>
        </w:rPr>
        <w:t>9.1    </w:t>
      </w:r>
      <w:r>
        <w:rPr>
          <w:rFonts w:ascii="Times New Roman;serif" w:hAnsi="Times New Roman;serif"/>
          <w:b w:val="false"/>
          <w:color w:val="000000"/>
          <w:sz w:val="24"/>
        </w:rPr>
        <w:t>You are ultimately responsible for all taxes owed in connection with the Award (e.g., at grant, vesting and/or upon receipt of the Shares), including any federal, state, local or foreign taxes of any kind required by law to be withheld by the Company in connection with the Award, including FICA or any other tax obligation (the "</w:t>
      </w:r>
      <w:r>
        <w:rPr>
          <w:rFonts w:ascii="Times New Roman;serif" w:hAnsi="Times New Roman;serif"/>
          <w:b/>
          <w:i/>
          <w:color w:val="000000"/>
          <w:sz w:val="24"/>
        </w:rPr>
        <w:t>Tax Withholding Obligation</w:t>
      </w:r>
      <w:r>
        <w:rPr>
          <w:rFonts w:ascii="Times New Roman;serif" w:hAnsi="Times New Roman;serif"/>
          <w:b w:val="false"/>
          <w:color w:val="000000"/>
          <w:sz w:val="24"/>
        </w:rPr>
        <w:t xml:space="preserve">"), regardless of any action the Company takes with respect to any such Tax Withholding Obligation. The Company makes no representation or undertaking regarding the adequacy of any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tax withholding made in connection with the Award. The Company has no obligation to deliver Shares pursuant to the Award until you have satisfied the Tax Withholding Obligation.</w:t>
      </w:r>
    </w:p>
    <w:p>
      <w:pPr>
        <w:pStyle w:val="TextBody"/>
        <w:bidi w:val="0"/>
        <w:spacing w:lineRule="auto" w:line="288" w:before="240" w:after="283"/>
        <w:ind w:left="0" w:right="0" w:firstLine="720"/>
        <w:jc w:val="left"/>
        <w:rPr/>
      </w:pPr>
      <w:r>
        <w:rPr>
          <w:rFonts w:ascii="Times New Roman;serif" w:hAnsi="Times New Roman;serif"/>
          <w:b/>
          <w:color w:val="000000"/>
          <w:sz w:val="24"/>
        </w:rPr>
        <w:t>9.2</w:t>
      </w:r>
      <w:r>
        <w:rPr>
          <w:color w:val="000000"/>
        </w:rPr>
        <w:t>    </w:t>
      </w:r>
      <w:r>
        <w:rPr>
          <w:rFonts w:ascii="Times New Roman;serif" w:hAnsi="Times New Roman;serif"/>
          <w:b w:val="false"/>
          <w:color w:val="000000"/>
          <w:sz w:val="24"/>
        </w:rPr>
        <w:t>You must satisfy the Tax Withholding Obligations by either of the following means: (a) entering into a plan that is intended to satisfy the affirmative defense conditions of Rule 10b5-1(c) under the Exchange Act (a “</w:t>
      </w:r>
      <w:r>
        <w:rPr>
          <w:rFonts w:ascii="Times New Roman;serif" w:hAnsi="Times New Roman;serif"/>
          <w:b/>
          <w:i/>
          <w:color w:val="000000"/>
          <w:sz w:val="24"/>
        </w:rPr>
        <w:t>10b5-1 Plan</w:t>
      </w:r>
      <w:r>
        <w:rPr>
          <w:color w:val="000000"/>
        </w:rPr>
        <w:t>”</w:t>
      </w:r>
      <w:r>
        <w:rPr>
          <w:rFonts w:ascii="Times New Roman;serif" w:hAnsi="Times New Roman;serif"/>
          <w:b w:val="false"/>
          <w:color w:val="000000"/>
          <w:sz w:val="24"/>
        </w:rPr>
        <w:t xml:space="preserve">), with any brokerage firm acceptable to the Company, to sell a number of Shares necessary to cover the amount of any Tax Withholding Obligation and all applicable fees or commissions due or (b) tendering a cash payment to the Company in a manner acceptable to the Company no later than 10 business days prior to a vest date. You understand that if you enter into a 10b5-1 Plan and subsequently choose to revoke it, you will be required to satisfy any Tax Withholding Obligations by tendering a cash payment to the Company as provided in this Section 9.2. You also understand that, if you do not have an effective 10b5-1 Plan in place prior to a vest date or you have not tendered a cash payment to the Company as provided in this Section 9.2, the Award shall immediately be forfeited without payment of any further consideration to you.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9.3</w:t>
      </w:r>
      <w:r>
        <w:rPr>
          <w:color w:val="000000"/>
        </w:rPr>
        <w:t>    </w:t>
      </w:r>
      <w:r>
        <w:rPr>
          <w:rFonts w:ascii="Times New Roman;serif" w:hAnsi="Times New Roman;serif"/>
          <w:b w:val="false"/>
          <w:color w:val="000000"/>
          <w:sz w:val="24"/>
        </w:rPr>
        <w:t>Notwithstanding the foregoing, to the maximum extent permitted by law, the Company has the right to retain without notice from Shares issuable under the Award or from salary or other amounts payable to you, a number of whole Shares or cash having a value sufficient to satisfy the Tax Withholding Obligation, and you hereby authorize the Company to do so (which Shares may be withheld up to the applicable minimum required tax withholding rate or such other applicable rate to avoid adverse treatment for financial accounting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9.4</w:t>
      </w:r>
      <w:r>
        <w:rPr>
          <w:color w:val="000000"/>
        </w:rPr>
        <w:t>    </w:t>
      </w:r>
      <w:r>
        <w:rPr>
          <w:rFonts w:ascii="Times New Roman;serif" w:hAnsi="Times New Roman;serif"/>
          <w:b w:val="false"/>
          <w:color w:val="000000"/>
          <w:sz w:val="24"/>
        </w:rPr>
        <w:t>Furthermore, you acknowledge that the Company (i) makes no representations or undertakings regarding the treatment of any Tax Withholding Obligations or tax treatment in connection with any aspect of the Award, including but not limited to, the grant, vesting, the issuance of Shares upon vesting, the subsequent sale of Shares acquired pursuant to the Award and the receipt of any dividends, and (ii) does not commit to and is under no obligation to structure the terms of the grant or any aspect of the Award to reduce or eliminate your liability for Tax Withholding Obligations or achieve any particular tax result. Further, if you have become subject to tax in more than one jurisdiction, you acknowledge that the Company (or former employer, as applicable) may be required to withhold or account for Tax Withholding Obligations in more than one jurisdiction.</w:t>
      </w:r>
    </w:p>
    <w:p>
      <w:pPr>
        <w:pStyle w:val="TextBody"/>
        <w:bidi w:val="0"/>
        <w:spacing w:lineRule="auto" w:line="288" w:before="240" w:after="283"/>
        <w:ind w:left="0" w:right="0" w:hanging="720"/>
        <w:jc w:val="left"/>
        <w:rPr>
          <w:rFonts w:ascii="Times New Roman;serif" w:hAnsi="Times New Roman;serif"/>
          <w:b/>
          <w:color w:val="000000"/>
          <w:sz w:val="24"/>
        </w:rPr>
      </w:pPr>
      <w:r>
        <w:rPr>
          <w:rFonts w:ascii="Times New Roman;serif" w:hAnsi="Times New Roman;serif"/>
          <w:b/>
          <w:color w:val="000000"/>
          <w:sz w:val="24"/>
        </w:rPr>
        <w:t>10.    General Provisions</w:t>
      </w:r>
    </w:p>
    <w:p>
      <w:pPr>
        <w:pStyle w:val="TextBody"/>
        <w:bidi w:val="0"/>
        <w:spacing w:lineRule="auto" w:line="288" w:before="240" w:after="283"/>
        <w:ind w:left="0" w:right="0" w:firstLine="720"/>
        <w:jc w:val="left"/>
        <w:rPr/>
      </w:pPr>
      <w:r>
        <w:rPr>
          <w:rFonts w:ascii="Times New Roman;serif" w:hAnsi="Times New Roman;serif"/>
          <w:b/>
          <w:color w:val="000000"/>
          <w:sz w:val="24"/>
        </w:rPr>
        <w:t>10.1</w:t>
      </w:r>
      <w:r>
        <w:rPr>
          <w:color w:val="000000"/>
        </w:rPr>
        <w:t>    </w:t>
      </w:r>
      <w:r>
        <w:rPr>
          <w:rFonts w:ascii="Times New Roman;serif" w:hAnsi="Times New Roman;serif"/>
          <w:b/>
          <w:color w:val="000000"/>
          <w:sz w:val="24"/>
        </w:rPr>
        <w:t>Assignment</w:t>
      </w:r>
      <w:r>
        <w:rPr>
          <w:rFonts w:ascii="Times New Roman;serif" w:hAnsi="Times New Roman;serif"/>
          <w:b w:val="false"/>
          <w:color w:val="000000"/>
          <w:sz w:val="24"/>
        </w:rPr>
        <w:t>. The Company may assign its rights under this Agreement at any time, whether or not such rights are then exercisable, to any person or entity selected by the Company's Board of Directors.</w:t>
      </w:r>
    </w:p>
    <w:p>
      <w:pPr>
        <w:pStyle w:val="TextBody"/>
        <w:bidi w:val="0"/>
        <w:spacing w:lineRule="auto" w:line="288" w:before="240" w:after="283"/>
        <w:ind w:left="0" w:right="0" w:firstLine="720"/>
        <w:jc w:val="left"/>
        <w:rPr/>
      </w:pPr>
      <w:r>
        <w:rPr>
          <w:rFonts w:ascii="Times New Roman;serif" w:hAnsi="Times New Roman;serif"/>
          <w:b/>
          <w:color w:val="000000"/>
          <w:sz w:val="24"/>
        </w:rPr>
        <w:t>10.2    No Waiver</w:t>
      </w:r>
      <w:r>
        <w:rPr>
          <w:rFonts w:ascii="Times New Roman;serif" w:hAnsi="Times New Roman;serif"/>
          <w:b w:val="false"/>
          <w:color w:val="000000"/>
          <w:sz w:val="24"/>
        </w:rPr>
        <w:t>. No waiver of any provision of this Agreement will be valid unless in writing and signed by the person against whom such waiver is sought to be enforced, nor will failure to enforce any right hereunder constitute a continuing waiver of the same or a waiver of any other right hereunder.</w:t>
      </w:r>
    </w:p>
    <w:p>
      <w:pPr>
        <w:pStyle w:val="TextBody"/>
        <w:bidi w:val="0"/>
        <w:spacing w:lineRule="auto" w:line="288" w:before="240" w:after="283"/>
        <w:ind w:left="0" w:right="0" w:firstLine="720"/>
        <w:jc w:val="left"/>
        <w:rPr/>
      </w:pPr>
      <w:r>
        <w:rPr>
          <w:rFonts w:ascii="Times New Roman;serif" w:hAnsi="Times New Roman;serif"/>
          <w:b/>
          <w:color w:val="000000"/>
          <w:sz w:val="24"/>
        </w:rPr>
        <w:t>10.3    Undertaking</w:t>
      </w:r>
      <w:r>
        <w:rPr>
          <w:rFonts w:ascii="Times New Roman;serif" w:hAnsi="Times New Roman;serif"/>
          <w:b w:val="false"/>
          <w:color w:val="000000"/>
          <w:sz w:val="24"/>
        </w:rPr>
        <w:t xml:space="preserve">. You hereby agree to take whatever additional action and execute whatever additional documents the Company may deem necessary or advisable in order to carry </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out or effect one or more of the obligations or restrictions imposed on either you or the Units pursuant to the express provisions of this Agreement.</w:t>
      </w:r>
    </w:p>
    <w:p>
      <w:pPr>
        <w:pStyle w:val="TextBody"/>
        <w:bidi w:val="0"/>
        <w:spacing w:lineRule="auto" w:line="288" w:before="240" w:after="283"/>
        <w:ind w:left="0" w:right="0" w:firstLine="720"/>
        <w:jc w:val="left"/>
        <w:rPr/>
      </w:pPr>
      <w:r>
        <w:rPr>
          <w:rFonts w:ascii="Times New Roman;serif" w:hAnsi="Times New Roman;serif"/>
          <w:b/>
          <w:color w:val="000000"/>
          <w:sz w:val="24"/>
        </w:rPr>
        <w:t>10.4    Agreement Is Entire Contract</w:t>
      </w:r>
      <w:r>
        <w:rPr>
          <w:rFonts w:ascii="Times New Roman;serif" w:hAnsi="Times New Roman;serif"/>
          <w:b w:val="false"/>
          <w:color w:val="000000"/>
          <w:sz w:val="24"/>
        </w:rPr>
        <w:t>. This Agreement, the Award Notice and the Plan constitute the entire contract between the parties hereto with regard to the subject matter hereof. This Agreement is made pursuant to the provisions of the Plan and will in all respects be construed in conformity with the express terms and provisions of the Plan.</w:t>
      </w:r>
    </w:p>
    <w:p>
      <w:pPr>
        <w:pStyle w:val="TextBody"/>
        <w:bidi w:val="0"/>
        <w:spacing w:lineRule="auto" w:line="288" w:before="240" w:after="283"/>
        <w:ind w:left="0" w:right="0" w:firstLine="720"/>
        <w:jc w:val="left"/>
        <w:rPr/>
      </w:pPr>
      <w:r>
        <w:rPr>
          <w:rFonts w:ascii="Times New Roman;serif" w:hAnsi="Times New Roman;serif"/>
          <w:b/>
          <w:color w:val="000000"/>
          <w:sz w:val="24"/>
        </w:rPr>
        <w:t>10.5    Successors and Assigns</w:t>
      </w:r>
      <w:r>
        <w:rPr>
          <w:rFonts w:ascii="Times New Roman;serif" w:hAnsi="Times New Roman;serif"/>
          <w:b w:val="false"/>
          <w:color w:val="000000"/>
          <w:sz w:val="24"/>
        </w:rPr>
        <w:t>. The provisions of this Agreement will inure to the benefit of, and be binding on, the Company and its successors and assigns and you and your legal representatives, heirs, legatees, distributees, assigns and transferees by operation of law, whether or not any such person will have become a party to this Agreement and agreed in writing to join herein and be bound by the terms and conditions hereof.</w:t>
      </w:r>
    </w:p>
    <w:p>
      <w:pPr>
        <w:pStyle w:val="TextBody"/>
        <w:bidi w:val="0"/>
        <w:spacing w:lineRule="auto" w:line="288" w:before="240" w:after="283"/>
        <w:ind w:left="0" w:right="0" w:firstLine="720"/>
        <w:jc w:val="left"/>
        <w:rPr/>
      </w:pPr>
      <w:r>
        <w:rPr>
          <w:rFonts w:ascii="Times New Roman;serif" w:hAnsi="Times New Roman;serif"/>
          <w:b/>
          <w:color w:val="000000"/>
          <w:sz w:val="24"/>
        </w:rPr>
        <w:t>10.6    No Employment or Service Contract</w:t>
      </w:r>
      <w:r>
        <w:rPr>
          <w:rFonts w:ascii="Times New Roman;serif" w:hAnsi="Times New Roman;serif"/>
          <w:b w:val="false"/>
          <w:color w:val="000000"/>
          <w:sz w:val="24"/>
        </w:rPr>
        <w:t>. Nothing in this Agreement will affect in any manner whatsoever the right or power of the Company, or a related corporation, to terminate your employment or services on behalf of the Company, for any reason, with or without Cause.</w:t>
      </w:r>
    </w:p>
    <w:p>
      <w:pPr>
        <w:pStyle w:val="TextBody"/>
        <w:bidi w:val="0"/>
        <w:spacing w:lineRule="auto" w:line="288" w:before="240" w:after="283"/>
        <w:ind w:left="0" w:right="0" w:firstLine="720"/>
        <w:jc w:val="left"/>
        <w:rPr/>
      </w:pPr>
      <w:r>
        <w:rPr>
          <w:rFonts w:ascii="Times New Roman;serif" w:hAnsi="Times New Roman;serif"/>
          <w:b/>
          <w:color w:val="000000"/>
          <w:sz w:val="24"/>
        </w:rPr>
        <w:t>10.7    Section 409A Compliance</w:t>
      </w:r>
      <w:r>
        <w:rPr>
          <w:rFonts w:ascii="Times New Roman;serif" w:hAnsi="Times New Roman;serif"/>
          <w:b w:val="false"/>
          <w:color w:val="000000"/>
          <w:sz w:val="24"/>
        </w:rPr>
        <w:t>. Payments made pursuant to this Agreement and the Plan are intended to qualify for an exception from or comply with Section 409A of the Code. Notwithstanding any other provision in the Plan or this Agreement to the contrary, the Plan Administrator reserves the right, but shall not be required to, unilaterally amend or modify the terms of this Agreement and/or the Plan as it determines necessary or appropriate, in its sole discretion, to avoid the imposition of interest or penalties under Section 409A of the Code; provided, however, that the Company makes no representation that that the Award shall be exempt from or comply with Section 409A of the Code and makes no undertaking to preclude Section 409A of the Code from applying to the Award. No provision of this Agreement or the Award Notice shall be interpreted or construed to transfer any liability for failure to comply with Section 409A of the Code from you or any other individual to the Company. By executing the Award Notice, you agree that you shall be deemed to have waived any claim against the Company with respect to any such tax consequences.</w:t>
      </w:r>
    </w:p>
    <w:p>
      <w:pPr>
        <w:pStyle w:val="TextBody"/>
        <w:bidi w:val="0"/>
        <w:spacing w:lineRule="auto" w:line="288" w:before="240" w:after="283"/>
        <w:ind w:left="0" w:right="0" w:firstLine="720"/>
        <w:jc w:val="left"/>
        <w:rPr/>
      </w:pPr>
      <w:r>
        <w:rPr>
          <w:rFonts w:ascii="Times New Roman;serif" w:hAnsi="Times New Roman;serif"/>
          <w:b/>
          <w:color w:val="000000"/>
          <w:sz w:val="24"/>
        </w:rPr>
        <w:t>10.8    Counterparts</w:t>
      </w:r>
      <w:r>
        <w:rPr>
          <w:rFonts w:ascii="Times New Roman;serif" w:hAnsi="Times New Roman;serif"/>
          <w:b w:val="false"/>
          <w:color w:val="000000"/>
          <w:sz w:val="24"/>
        </w:rPr>
        <w:t>. This Agreement may be executed in two or more counterparts, each of which will be deemed an original, but which, upon execution, will constitute one and the same instrument.</w:t>
      </w:r>
    </w:p>
    <w:p>
      <w:pPr>
        <w:pStyle w:val="TextBody"/>
        <w:bidi w:val="0"/>
        <w:spacing w:lineRule="auto" w:line="288" w:before="240" w:after="283"/>
        <w:ind w:left="0" w:right="0" w:firstLine="720"/>
        <w:jc w:val="left"/>
        <w:rPr/>
      </w:pPr>
      <w:r>
        <w:rPr>
          <w:rFonts w:ascii="Times New Roman;serif" w:hAnsi="Times New Roman;serif"/>
          <w:b/>
          <w:color w:val="000000"/>
          <w:sz w:val="24"/>
        </w:rPr>
        <w:t xml:space="preserve">10.9    Recoupment. </w:t>
      </w:r>
      <w:r>
        <w:rPr>
          <w:rFonts w:ascii="Times New Roman;serif" w:hAnsi="Times New Roman;serif"/>
          <w:b w:val="false"/>
          <w:color w:val="000000"/>
          <w:sz w:val="24"/>
        </w:rPr>
        <w:t>To the extent required by applicable law or any applicable securities exchange listing standards, or as otherwise determined by the Board, this Award will be subject to the provisions of any applicable clawback policies or procedures adopted by the Company, which clawback policies or procedures may provide for forfeiture and/or recoupment of amounts earned, vested, settled or payable under this Award. The Company reserves the right, without your consent, to adopt or modify any such clawback policies and procedures, including such policies and procedures applicable to this Award with retroactive effect.</w:t>
      </w:r>
    </w:p>
    <w:p>
      <w:pPr>
        <w:pStyle w:val="TextBody"/>
        <w:bidi w:val="0"/>
        <w:spacing w:before="240" w:after="283"/>
        <w:ind w:left="0" w:right="0" w:firstLine="72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Appendix A– Performance Goals</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[PERFORMANCE GOALS]</w:t>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Frank D.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Pacira BioSciences, Inc. (the “Registrant”);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5038" w:type="dxa"/>
        <w:jc w:val="center"/>
        <w:tblInd w:w="0" w:type="dxa"/>
        <w:tblLayout w:type="fixed"/>
        <w:tblCellMar>
          <w:top w:w="28" w:type="dxa"/>
          <w:left w:w="28" w:type="dxa"/>
          <w:bottom w:w="28" w:type="dxa"/>
          <w:right w:w="28" w:type="dxa"/>
        </w:tblCellMar>
      </w:tblPr>
      <w:tblGrid>
        <w:gridCol w:w="216"/>
        <w:gridCol w:w="191"/>
        <w:gridCol w:w="192"/>
        <w:gridCol w:w="429"/>
        <w:gridCol w:w="429"/>
        <w:gridCol w:w="431"/>
        <w:gridCol w:w="918"/>
        <w:gridCol w:w="918"/>
        <w:gridCol w:w="131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Shawn M. Cross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Pacira BioSciences, Inc. (the “Registrant”);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4408" w:type="dxa"/>
        <w:jc w:val="center"/>
        <w:tblInd w:w="0" w:type="dxa"/>
        <w:tblLayout w:type="fixed"/>
        <w:tblCellMar>
          <w:top w:w="28" w:type="dxa"/>
          <w:left w:w="28" w:type="dxa"/>
          <w:bottom w:w="28" w:type="dxa"/>
          <w:right w:w="28" w:type="dxa"/>
        </w:tblCellMar>
      </w:tblPr>
      <w:tblGrid>
        <w:gridCol w:w="216"/>
        <w:gridCol w:w="191"/>
        <w:gridCol w:w="192"/>
        <w:gridCol w:w="429"/>
        <w:gridCol w:w="429"/>
        <w:gridCol w:w="43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THE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18 U.S.C. §1350, as adopted pursuant to Section 906 of the Sarbanes-Oxley Act of 2002, the undersigned certifies that this Quarterly Report on Form 10-Q of Pacira BioSciences, Inc. for the quarter ended March 31, 2026, fully complies with the requirements of Section 13(a) or 15(d) of the Securities Exchange Act of 1934 and that the information contained in this report fairly presents, in all material respects, the financial condition and results of operations of Pacira BioSciences, Inc. at the dates and for the periods indicated.</w:t>
      </w:r>
    </w:p>
    <w:p>
      <w:pPr>
        <w:pStyle w:val="TextBody"/>
        <w:bidi w:val="0"/>
        <w:spacing w:before="0" w:after="0"/>
        <w:jc w:val="left"/>
        <w:rPr/>
      </w:pPr>
      <w:r>
        <w:rPr/>
      </w:r>
    </w:p>
    <w:p>
      <w:pPr>
        <w:pStyle w:val="TextBody"/>
        <w:bidi w:val="0"/>
        <w:spacing w:before="0" w:after="0"/>
        <w:ind w:left="0" w:right="0" w:firstLine="540"/>
        <w:jc w:val="left"/>
        <w:rPr/>
      </w:pPr>
      <w:r>
        <w:rPr/>
      </w:r>
    </w:p>
    <w:p>
      <w:pPr>
        <w:pStyle w:val="TextBody"/>
        <w:bidi w:val="0"/>
        <w:spacing w:lineRule="auto" w:line="288" w:before="0" w:after="0"/>
        <w:jc w:val="center"/>
        <w:rPr>
          <w:color w:val="000000"/>
        </w:rPr>
      </w:pPr>
      <w:r>
        <w:rPr>
          <w:color w:val="000000"/>
        </w:rPr>
        <w:t> </w:t>
      </w:r>
    </w:p>
    <w:tbl>
      <w:tblPr>
        <w:tblW w:w="5038" w:type="dxa"/>
        <w:jc w:val="center"/>
        <w:tblInd w:w="0" w:type="dxa"/>
        <w:tblLayout w:type="fixed"/>
        <w:tblCellMar>
          <w:top w:w="28" w:type="dxa"/>
          <w:left w:w="28" w:type="dxa"/>
          <w:bottom w:w="28" w:type="dxa"/>
          <w:right w:w="28" w:type="dxa"/>
        </w:tblCellMar>
      </w:tblPr>
      <w:tblGrid>
        <w:gridCol w:w="216"/>
        <w:gridCol w:w="191"/>
        <w:gridCol w:w="192"/>
        <w:gridCol w:w="429"/>
        <w:gridCol w:w="429"/>
        <w:gridCol w:w="431"/>
        <w:gridCol w:w="918"/>
        <w:gridCol w:w="918"/>
        <w:gridCol w:w="131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Frank D. Lee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Executive Officer and Director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center"/>
        <w:rPr/>
      </w:pPr>
      <w:r>
        <w:rPr/>
      </w:r>
    </w:p>
    <w:p>
      <w:pPr>
        <w:pStyle w:val="TextBody"/>
        <w:bidi w:val="0"/>
        <w:spacing w:before="0" w:after="0"/>
        <w:jc w:val="center"/>
        <w:rPr/>
      </w:pPr>
      <w:r>
        <w:rPr/>
      </w:r>
    </w:p>
    <w:tbl>
      <w:tblPr>
        <w:tblW w:w="4408" w:type="dxa"/>
        <w:jc w:val="center"/>
        <w:tblInd w:w="0" w:type="dxa"/>
        <w:tblLayout w:type="fixed"/>
        <w:tblCellMar>
          <w:top w:w="28" w:type="dxa"/>
          <w:left w:w="28" w:type="dxa"/>
          <w:bottom w:w="28" w:type="dxa"/>
          <w:right w:w="28" w:type="dxa"/>
        </w:tblCellMar>
      </w:tblPr>
      <w:tblGrid>
        <w:gridCol w:w="216"/>
        <w:gridCol w:w="191"/>
        <w:gridCol w:w="192"/>
        <w:gridCol w:w="429"/>
        <w:gridCol w:w="429"/>
        <w:gridCol w:w="431"/>
        <w:gridCol w:w="737"/>
        <w:gridCol w:w="737"/>
        <w:gridCol w:w="104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Shawn M. Cross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396814/000162828026012297/pcrx-20251231.htm" TargetMode="External"/><Relationship Id="rId4" Type="http://schemas.openxmlformats.org/officeDocument/2006/relationships/image" Target="media/image2.jpeg"/><Relationship Id="rId5" Type="http://schemas.openxmlformats.org/officeDocument/2006/relationships/hyperlink" Target="https://www.sec.gov/ix?doc=/Archives/edgar/data/0001396814/000162828026012297/pcrx-20251231.htm" TargetMode="External"/><Relationship Id="rId6" Type="http://schemas.openxmlformats.org/officeDocument/2006/relationships/hyperlink" Target="https://www.sec.gov/ix?doc=/Archives/edgar/data/0001396814/000162828026012297/pcrx-20251231.htm" TargetMode="External"/><Relationship Id="rId7" Type="http://schemas.openxmlformats.org/officeDocument/2006/relationships/hyperlink" Target="https://www.sec.gov/ix?doc=/Archives/edgar/data/1396814/000162828026012297/pcrx-202512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31813</Words>
  <Characters>175296</Characters>
  <CharactersWithSpaces>205924</CharactersWithSpaces>
  <Paragraphs>2599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