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Pacira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Pedro Escudero</w:t>
              <w:br/>
              <w:t>3350 Virginia Street, Suite 530</w:t>
              <w:br/>
              <w:t>Miami, FL, 33133</w:t>
              <w:br/>
              <w:t>(305) 549-5081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Doma Perpetual Capital Management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DOMA1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DOMA Perpetual LO Equity Master Fund LP</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DOMA Perpetual Partners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Pedro Escudero</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PF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John Templeton Foundation</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TENNESSEE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DOMA2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Pacira BioSciences,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2000 Sierra Point Parkway, Suite 900, Brisbane, CALIFORNIA , 94005.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("Amendment No. 4") amends and supplements the Schedule 13D filed with the Securities and Exchange Commission (the "SEC") on August 8, 2025, as amended by Amendment No. 1 thereto filed on November 10, 2025, Amendment No. 2 filed on January 2, 2026, and Amendment No. 3 filed on March 12, 2026 (collectively, the "Schedule 13D"), relating to shares of Common Stock, par value $0.001 per share (the "Common Shares"), of Pacira BioSciences, Inc. (the "Issuer"). All capitalized terms contained herein but not otherwise defined shall have the meanings ascribed to such terms in the Schedule 13D. Information given in response to each item shall be deemed incorporated by reference in all other items, as applicable.</w:t>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0"/>
              <w:jc w:val="left"/>
              <w:rPr/>
            </w:pPr>
            <w:r>
              <w:rPr/>
              <w:t>Item 2(a) is hereby amended and restated in its entirety as follows: "This Schedule 13D is being filed by (i) DOMA Perpetual Capital Management LLC, a Delaware limited liability company ("DOMA"), (ii) DOMA1 LLC, a Delaware limited liability company ("Doma 1"), (iii) DOMA Perpetual LO Equity Master Fund LP, a Cayman Islands exempted limited partnership ("Doma Master Fund"), (iv) Doma Perpetual Partners GP LLC, a Delaware limited liability company ("Doma GP"), (v) Pedro Escudero, a citizen of the United States ("Mr. Escudero"), (vi) The John Templeton Foundation, a foundation organized under the laws of Tennessee ("JTF"), and (vii) DOMA2 LLC, a Delaware limited liability company ("Doma 2", and together with JTF, Mr. Escudero, Doma GP, Doma Master Fund, Doma 1 and DOMA, the "Reporting Persons"). DOMA is the investment manager of Doma Master Fund and JTF. Doma 1 is the managing member of DOMA. Doma 2 is the managing member of Doma GP. Doma GP is the general partner of Doma Master Fund. JTF is a discretionary investment management client of DOMA. Mr. Escudero is the Chief Executive Officer and Chief Investment Officer of DOMA and sole manager of Doma 1 and Doma 2."</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0"/>
              <w:jc w:val="left"/>
              <w:rPr/>
            </w:pPr>
            <w:r>
              <w:rPr/>
              <w:t>Item 2(b) is hereby amended and restated in its entirety as follows: "The principal business address of each of DOMA, Doma 1, Doma 2, Doma GP, Doma Master Fund, and Mr. Escudero is 3350 Virginia Street, Suite 530, Miami, FL 33133. The principal business address of JTF is 300 Conshohocken State Road, Suite 500, West Conshohocken, PA 19428."</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0"/>
              <w:jc w:val="left"/>
              <w:rPr/>
            </w:pPr>
            <w:r>
              <w:rPr/>
              <w:t>Item 2(c) is hereby amended and restated in its entirety as follows: "DOMA provides investment advisory and management services and acts as the investment manager of Doma Master Fund and JTF. Doma 1 is the managing member of DOMA. Doma 2 is the managing member of Doma GP. Doma GP is the general partner of Doma Master Fund. Doma Master Fund has been formed for the purpose of investing in securities and engaging in all related activities and transactions. JTF, via its wholly-owned investment holding company, Reliability LLC, invests in securities and engages in all related activities and transactions. Mr. Escudero is the Chief Executive Officer and Chief Investment Officer of DOMA and sole manager of Doma 1 and Doma 2."</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0"/>
              <w:jc w:val="left"/>
              <w:rPr/>
            </w:pPr>
            <w:r>
              <w:rPr/>
              <w:t>Item 2(d) is hereby amended and restated in its entirety as follows: "During the past five years, none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0"/>
              <w:jc w:val="left"/>
              <w:rPr/>
            </w:pPr>
            <w:r>
              <w:rPr/>
              <w:t>Item 2(e) is hereby amended and restated in its entirety as follows: "During the past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0"/>
              <w:jc w:val="left"/>
              <w:rPr/>
            </w:pPr>
            <w:r>
              <w:rPr/>
              <w:t>Item 2(f) is hereby amended and restated in its entirety as follows: "The information in Item 2(a) above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0"/>
              <w:jc w:val="left"/>
              <w:rPr/>
            </w:pPr>
            <w:r>
              <w:rPr/>
              <w:t>Item 5(a) is hereby amended and restated in its entirety as follows: "The percentages used in this Schedule 13D are calculated based on 39,861,886 outstanding Common Shares of the Issuer as of August 3, 2026, as provided on the cover page of the Issuer's quarterly report on Form 10-Q for the quarterly period ended June 30, 2026, filed with the SEC on August 4, 2026. See rows (11) and (13) of the cover pages to this Schedule 13D for the aggregate number of Common Shares and percentage of Common Shares beneficially owned by each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0"/>
              <w:jc w:val="left"/>
              <w:rPr/>
            </w:pPr>
            <w:r>
              <w:rPr/>
              <w:t>Item 5(b) is hereby amended and restated in its entirety as follows: "(b) Number of shares as to which each Reporting Person has: (i) sole power to vote or to direct the vote: See Item 7 on the cover page(s) hereto. (ii) shared power to vote or to direct the vote: See Item 8 on the cover page(s) hereto. (iii) sole power to dispose or to direct the disposition of: See Item 9 on the cover page(s) hereto. (iv) shared power to dispose or to direct the disposition of: See Item 10 on the cover page(s) hereto."</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0"/>
              <w:jc w:val="left"/>
              <w:rPr/>
            </w:pPr>
            <w:r>
              <w:rPr/>
              <w:t>Item 5(c) is hereby amended and restated in its entirety as follows: "Other than as set forth on Annex A, which is incorporated herein by reference to Exhibit 99.2 hereto, there have been no transactions in the class of securities reported on that were effected by the Reporting Persons during the past sixty days or since the most recent filing of Schedule 13D, whichever is less."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0"/>
              <w:jc w:val="left"/>
              <w:rPr/>
            </w:pPr>
            <w:r>
              <w:rPr/>
              <w:t>Item 5(e) is hereby amended and restated in its entirety as follows: "On October 8, 2026, the Reporting Persons ceased to be the beneficial owner of more than five percent of the Common Shares."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Item 7 is hereby amended and restated in its entirety as follows: "Exhibit 99.1 Joint Filing Agreement (filed herewith) Exhibit 99.2 Annex A - Recent Transactions by the Reporting Persons in the Securities of the Issuer (filed herewith)."</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824" w:type="dxa"/>
        <w:jc w:val="left"/>
        <w:tblInd w:w="0" w:type="dxa"/>
        <w:tblLayout w:type="fixed"/>
        <w:tblCellMar>
          <w:top w:w="28" w:type="dxa"/>
          <w:left w:w="28" w:type="dxa"/>
          <w:bottom w:w="28" w:type="dxa"/>
          <w:right w:w="28" w:type="dxa"/>
        </w:tblCellMar>
      </w:tblPr>
      <w:tblGrid>
        <w:gridCol w:w="4412"/>
        <w:gridCol w:w="4412"/>
      </w:tblGrid>
      <w:tr>
        <w:trPr/>
        <w:tc>
          <w:tcPr>
            <w:tcW w:w="4412" w:type="dxa"/>
            <w:tcBorders/>
            <w:vAlign w:val="center"/>
          </w:tcPr>
          <w:p>
            <w:pPr>
              <w:pStyle w:val="TableContents"/>
              <w:bidi w:val="0"/>
              <w:spacing w:before="0" w:after="0"/>
              <w:jc w:val="left"/>
              <w:rPr/>
            </w:pPr>
            <w:r>
              <w:rPr/>
              <w:t> </w: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0"/>
                    <w:jc w:val="left"/>
                    <w:rPr/>
                  </w:pPr>
                  <w:r>
                    <w:rPr/>
                    <w:t>Doma Perpetual Capital Management LLC</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Pedro Escudero</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Pedro Escudero/Chief Executive Officer and Chief Investment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DOMA1 LLC</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Pedro Escudero</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Pedro Escudero/Manager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DOMA Perpetual LO Equity Master Fund LP</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DOMA Perpetual Partners GP LLC</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General Partner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Pedro Escudero</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Pedro Escudero/Manager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DOMA Perpetual Partners GP LLC</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Pedro Escudero</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Pedro Escudero/Manager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Pedro Escudero</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Pedro Escudero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The John Templeton Foundation</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Pedro Escudero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DOMA2 LLC</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Pedro Escudero</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Pedro Escudero/Manager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38" w:name="tm2627486d1_ex99-1.htm"/>
      <w:bookmarkStart w:id="39" w:name="kstm2627486d1_ex991"/>
      <w:bookmarkEnd w:id="38"/>
      <w:bookmarkEnd w:id="3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and regulations thereunder, each party hereto hereby agrees to the joint filing, on behalf of each of them, of any filing required by such party under Section 13 or Section 16 of the Exchange Act or any rule or regulation thereunder (including any amendment, restatement, supplement, and/or exhibit thereto) with the U.S. Securities and Exchange Commission (and, if such security is registered on a national securities exchange, also with the exchange), and further agrees to the filing, furnishing, and/or incorporation by reference of this agreement as an exhibit thereto. This agreement shall remain in full force and effect until revoked by any party hereto in a signed writing provided to each other party hereto, and then only with respect to such revoking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party hereto, being duly authorized, has caused this agreement to be executed and effective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6855" w:type="dxa"/>
        <w:jc w:val="left"/>
        <w:tblInd w:w="0" w:type="dxa"/>
        <w:tblLayout w:type="fixed"/>
        <w:tblCellMar>
          <w:top w:w="0" w:type="dxa"/>
          <w:left w:w="0" w:type="dxa"/>
          <w:bottom w:w="0" w:type="dxa"/>
          <w:right w:w="0" w:type="dxa"/>
        </w:tblCellMar>
      </w:tblPr>
      <w:tblGrid>
        <w:gridCol w:w="1925"/>
        <w:gridCol w:w="590"/>
        <w:gridCol w:w="4340"/>
      </w:tblGrid>
      <w:tr>
        <w:trPr/>
        <w:tc>
          <w:tcPr>
            <w:tcW w:w="1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October 13, 2026</w:t>
            </w:r>
          </w:p>
        </w:tc>
        <w:tc>
          <w:tcPr>
            <w:tcW w:w="4930" w:type="dxa"/>
            <w:gridSpan w:val="2"/>
            <w:tcBorders/>
            <w:vAlign w:val="center"/>
          </w:tcPr>
          <w:p>
            <w:pPr>
              <w:pStyle w:val="TableContents"/>
              <w:bidi w:val="0"/>
              <w:spacing w:before="0" w:after="283"/>
              <w:jc w:val="both"/>
              <w:rPr/>
            </w:pPr>
            <w:r>
              <w:rPr>
                <w:rFonts w:ascii="Times New Roman;Times;Serif" w:hAnsi="Times New Roman;Times;Serif"/>
                <w:b/>
                <w:caps/>
                <w:sz w:val="20"/>
              </w:rPr>
              <w:t xml:space="preserve">DOMA </w:t>
            </w:r>
            <w:r>
              <w:rPr>
                <w:b/>
                <w:caps/>
                <w:sz w:val="20"/>
              </w:rPr>
              <w:t>Perpetual Capital Management LLC</w:t>
            </w:r>
          </w:p>
        </w:tc>
      </w:tr>
      <w:tr>
        <w:trPr/>
        <w:tc>
          <w:tcPr>
            <w:tcW w:w="1925" w:type="dxa"/>
            <w:tcBorders/>
            <w:vAlign w:val="center"/>
          </w:tcPr>
          <w:p>
            <w:pPr>
              <w:pStyle w:val="TableContents"/>
              <w:bidi w:val="0"/>
              <w:spacing w:before="0" w:after="283"/>
              <w:jc w:val="both"/>
              <w:rPr/>
            </w:pPr>
            <w:r>
              <w:rPr/>
              <w:t> </w:t>
            </w:r>
          </w:p>
        </w:tc>
        <w:tc>
          <w:tcPr>
            <w:tcW w:w="4930" w:type="dxa"/>
            <w:gridSpan w:val="2"/>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3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Pedro Escudero</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Pedro Escudero</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and Chief Investment Officer</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4340" w:type="dxa"/>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pPr>
            <w:r>
              <w:rPr/>
              <w:t> </w:t>
            </w:r>
          </w:p>
        </w:tc>
        <w:tc>
          <w:tcPr>
            <w:tcW w:w="4930" w:type="dxa"/>
            <w:gridSpan w:val="2"/>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DOMA Perpetual LO Equity Master Fund LP</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4340" w:type="dxa"/>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pPr>
            <w:r>
              <w:rPr/>
              <w:t> </w:t>
            </w:r>
          </w:p>
        </w:tc>
        <w:tc>
          <w:tcPr>
            <w:tcW w:w="493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DOMA Perpetual Partners GP LLC, its general partner</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4340" w:type="dxa"/>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3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Pedro Escudero</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Pedro Escudero</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Manager</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4340" w:type="dxa"/>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pPr>
            <w:r>
              <w:rPr/>
              <w:t> </w:t>
            </w:r>
          </w:p>
        </w:tc>
        <w:tc>
          <w:tcPr>
            <w:tcW w:w="4930" w:type="dxa"/>
            <w:gridSpan w:val="2"/>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DOMA Perpetual Partners GP LLC</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4340" w:type="dxa"/>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3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Pedro Escudero</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Pedro Escudero</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Manager</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4340" w:type="dxa"/>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pPr>
            <w:r>
              <w:rPr/>
              <w:t> </w:t>
            </w:r>
          </w:p>
        </w:tc>
        <w:tc>
          <w:tcPr>
            <w:tcW w:w="4930" w:type="dxa"/>
            <w:gridSpan w:val="2"/>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DOMA1 LLC</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4340" w:type="dxa"/>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3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Pedro Escudero</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Pedro Escudero</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Manager</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4340" w:type="dxa"/>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pPr>
            <w:r>
              <w:rPr/>
              <w:t> </w:t>
            </w:r>
          </w:p>
        </w:tc>
        <w:tc>
          <w:tcPr>
            <w:tcW w:w="493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PEDRO ESCUDERO</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4340" w:type="dxa"/>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pPr>
            <w:r>
              <w:rPr/>
              <w:t> </w:t>
            </w:r>
          </w:p>
        </w:tc>
        <w:tc>
          <w:tcPr>
            <w:tcW w:w="493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Pedro Escudero</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4340" w:type="dxa"/>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pPr>
            <w:r>
              <w:rPr/>
              <w:t> </w:t>
            </w:r>
          </w:p>
        </w:tc>
        <w:tc>
          <w:tcPr>
            <w:tcW w:w="4930" w:type="dxa"/>
            <w:gridSpan w:val="2"/>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The John Templeton Foundation</w:t>
            </w:r>
          </w:p>
        </w:tc>
      </w:tr>
      <w:tr>
        <w:trPr/>
        <w:tc>
          <w:tcPr>
            <w:tcW w:w="1925" w:type="dxa"/>
            <w:tcBorders/>
            <w:vAlign w:val="center"/>
          </w:tcPr>
          <w:p>
            <w:pPr>
              <w:pStyle w:val="TableContents"/>
              <w:bidi w:val="0"/>
              <w:spacing w:before="0" w:after="283"/>
              <w:jc w:val="both"/>
              <w:rPr/>
            </w:pPr>
            <w:r>
              <w:rPr/>
              <w:t> </w:t>
            </w:r>
          </w:p>
        </w:tc>
        <w:tc>
          <w:tcPr>
            <w:tcW w:w="4930" w:type="dxa"/>
            <w:gridSpan w:val="2"/>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3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Pedro Escudero</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Pedro Escudero</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Authorized Signatory</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4340" w:type="dxa"/>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pPr>
            <w:r>
              <w:rPr/>
              <w:t> </w:t>
            </w:r>
          </w:p>
        </w:tc>
        <w:tc>
          <w:tcPr>
            <w:tcW w:w="493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DOMA2 LLC</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4340" w:type="dxa"/>
            <w:tcBorders/>
            <w:vAlign w:val="center"/>
          </w:tcPr>
          <w:p>
            <w:pPr>
              <w:pStyle w:val="TableContents"/>
              <w:bidi w:val="0"/>
              <w:spacing w:before="0" w:after="283"/>
              <w:jc w:val="both"/>
              <w:rPr/>
            </w:pPr>
            <w:r>
              <w:rPr/>
              <w:t> </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3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Pedro Escudero</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Pedro Escudero</w:t>
            </w:r>
          </w:p>
        </w:tc>
      </w:tr>
      <w:tr>
        <w:trPr/>
        <w:tc>
          <w:tcPr>
            <w:tcW w:w="192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40" w:name="tm2627486d1_ex99-2.htm"/>
      <w:bookmarkStart w:id="41" w:name="kstm2627486d1_ex992"/>
      <w:bookmarkEnd w:id="40"/>
      <w:bookmarkEnd w:id="4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RECENT TRANSACTIONS BY THE REPORTING PERSONS IN THE SECURITIES OF Pacira BioSciences, Inc.</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10" w:type="dxa"/>
        <w:tblLayout w:type="fixed"/>
        <w:tblCellMar>
          <w:top w:w="28" w:type="dxa"/>
          <w:left w:w="108" w:type="dxa"/>
          <w:bottom w:w="28" w:type="dxa"/>
          <w:right w:w="108" w:type="dxa"/>
        </w:tblCellMar>
      </w:tblPr>
      <w:tblGrid>
        <w:gridCol w:w="1070"/>
        <w:gridCol w:w="3515"/>
        <w:gridCol w:w="845"/>
        <w:gridCol w:w="1160"/>
        <w:gridCol w:w="1445"/>
      </w:tblGrid>
      <w:tr>
        <w:trPr/>
        <w:tc>
          <w:tcPr>
            <w:tcW w:w="10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Transaction</w:t>
              <w:br/>
              <w:t>Date</w:t>
            </w:r>
          </w:p>
        </w:tc>
        <w:tc>
          <w:tcPr>
            <w:tcW w:w="35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Effecting</w:t>
              <w:br/>
              <w:t>Person(s)</w:t>
            </w:r>
          </w:p>
        </w:tc>
        <w:tc>
          <w:tcPr>
            <w:tcW w:w="8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br/>
              <w:t>Disposed</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Price</w:t>
              <w:br/>
              <w:t>Per Share</w:t>
              <w:br/>
              <w:t>(excluding</w:t>
              <w:br/>
              <w:t>commissions)</w:t>
            </w:r>
          </w:p>
        </w:tc>
        <w:tc>
          <w:tcPr>
            <w:tcW w:w="14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br/>
              <w:t>of Transaction</w:t>
            </w:r>
          </w:p>
        </w:tc>
      </w:tr>
      <w:tr>
        <w:trPr/>
        <w:tc>
          <w:tcPr>
            <w:tcW w:w="10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10/08/2026</w:t>
            </w:r>
          </w:p>
        </w:tc>
        <w:tc>
          <w:tcPr>
            <w:tcW w:w="351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Doma Perpetual Lo Equity Master Fund LP</w:t>
            </w:r>
          </w:p>
        </w:tc>
        <w:tc>
          <w:tcPr>
            <w:tcW w:w="8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1,965,765</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 xml:space="preserve">$36.29 </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Open-market sale</w:t>
            </w:r>
          </w:p>
        </w:tc>
      </w:tr>
      <w:tr>
        <w:trPr/>
        <w:tc>
          <w:tcPr>
            <w:tcW w:w="10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10/08/2026</w:t>
            </w:r>
          </w:p>
        </w:tc>
        <w:tc>
          <w:tcPr>
            <w:tcW w:w="3515" w:type="dxa"/>
            <w:tcBorders>
              <w:top w:val="single" w:sz="8" w:space="0" w:color="000000"/>
            </w:tcBorders>
            <w:tcMar>
              <w:left w:w="0" w:type="dxa"/>
              <w:bottom w:w="0" w:type="dxa"/>
              <w:right w:w="0" w:type="dxa"/>
            </w:tcMar>
            <w:vAlign w:val="center"/>
          </w:tcPr>
          <w:p>
            <w:pPr>
              <w:pStyle w:val="TableContents"/>
              <w:bidi w:val="0"/>
              <w:spacing w:before="0" w:after="283"/>
              <w:jc w:val="center"/>
              <w:rPr>
                <w:sz w:val="20"/>
              </w:rPr>
            </w:pPr>
            <w:r>
              <w:rPr>
                <w:sz w:val="20"/>
              </w:rPr>
              <w:t>The John Templeton Foundation</w:t>
            </w:r>
          </w:p>
        </w:tc>
        <w:tc>
          <w:tcPr>
            <w:tcW w:w="8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812,019</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 xml:space="preserve">$36.29 </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Open-market sale</w:t>
            </w:r>
          </w:p>
        </w:tc>
      </w:tr>
      <w:tr>
        <w:trPr/>
        <w:tc>
          <w:tcPr>
            <w:tcW w:w="10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10/08/2026</w:t>
            </w:r>
          </w:p>
        </w:tc>
        <w:tc>
          <w:tcPr>
            <w:tcW w:w="3515" w:type="dxa"/>
            <w:tcBorders>
              <w:top w:val="single" w:sz="8" w:space="0" w:color="000000"/>
            </w:tcBorders>
            <w:tcMar>
              <w:left w:w="0" w:type="dxa"/>
              <w:bottom w:w="0" w:type="dxa"/>
              <w:right w:w="0" w:type="dxa"/>
            </w:tcMar>
            <w:vAlign w:val="center"/>
          </w:tcPr>
          <w:p>
            <w:pPr>
              <w:pStyle w:val="TableContents"/>
              <w:bidi w:val="0"/>
              <w:spacing w:before="0" w:after="283"/>
              <w:jc w:val="center"/>
              <w:rPr>
                <w:sz w:val="20"/>
              </w:rPr>
            </w:pPr>
            <w:r>
              <w:rPr>
                <w:sz w:val="20"/>
              </w:rPr>
              <w:t>Pedro Escudero</w:t>
            </w:r>
          </w:p>
        </w:tc>
        <w:tc>
          <w:tcPr>
            <w:tcW w:w="8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159,000</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$36.29</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Open-market sale</w:t>
            </w:r>
          </w:p>
        </w:tc>
      </w:tr>
      <w:tr>
        <w:trPr/>
        <w:tc>
          <w:tcPr>
            <w:tcW w:w="10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10/13/2026</w:t>
            </w:r>
          </w:p>
        </w:tc>
        <w:tc>
          <w:tcPr>
            <w:tcW w:w="351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sz w:val="20"/>
              </w:rPr>
            </w:pPr>
            <w:r>
              <w:rPr>
                <w:sz w:val="20"/>
              </w:rPr>
              <w:t>Doma Perpetual Lo Equity Master Fund LP</w:t>
            </w:r>
          </w:p>
        </w:tc>
        <w:tc>
          <w:tcPr>
            <w:tcW w:w="8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10</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$36.34</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Open-market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2649</Words>
  <Characters>13513</Characters>
  <CharactersWithSpaces>15983</CharactersWithSpaces>
  <Paragraphs>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